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1FF51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8DB40B6">
            <w:pPr>
              <w:pStyle w:val="20"/>
              <w:framePr w:wrap="notBeside" w:vAnchor="page" w:hAnchor="page" w:x="1372" w:y="568"/>
              <w:tabs>
                <w:tab w:val="clear" w:pos="4153"/>
                <w:tab w:val="clear" w:pos="8306"/>
              </w:tabs>
              <w:spacing w:line="240" w:lineRule="auto"/>
              <w:jc w:val="left"/>
              <w:rPr>
                <w:rFonts w:ascii="黑体" w:hAnsi="黑体" w:eastAsia="黑体"/>
                <w:sz w:val="21"/>
                <w:szCs w:val="21"/>
              </w:rPr>
            </w:pPr>
            <w:bookmarkStart w:id="86" w:name="_GoBack"/>
            <w:bookmarkEnd w:id="86"/>
            <w:r>
              <w:rPr>
                <w:rFonts w:ascii="Times New Roman" w:hAnsi="Times New Roman" w:eastAsia="黑体"/>
                <w:sz w:val="21"/>
                <w:szCs w:val="21"/>
              </w:rPr>
              <w:t>ICS</w:t>
            </w:r>
          </w:p>
        </w:tc>
        <w:tc>
          <w:tcPr>
            <w:tcW w:w="8855" w:type="dxa"/>
          </w:tcPr>
          <w:p w14:paraId="372DB9AB">
            <w:pPr>
              <w:pStyle w:val="20"/>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93.080</w:t>
            </w:r>
            <w:r>
              <w:rPr>
                <w:rFonts w:ascii="黑体" w:hAnsi="黑体" w:eastAsia="黑体"/>
                <w:sz w:val="21"/>
                <w:szCs w:val="21"/>
              </w:rPr>
              <w:fldChar w:fldCharType="end"/>
            </w:r>
            <w:bookmarkEnd w:id="0"/>
          </w:p>
        </w:tc>
      </w:tr>
      <w:tr w14:paraId="4069E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B7C6F3B">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CCS</w:t>
            </w:r>
          </w:p>
        </w:tc>
        <w:tc>
          <w:tcPr>
            <w:tcW w:w="8855" w:type="dxa"/>
          </w:tcPr>
          <w:p w14:paraId="5333A46C">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P 66</w:t>
            </w:r>
            <w:r>
              <w:rPr>
                <w:rFonts w:ascii="黑体" w:hAnsi="黑体" w:eastAsia="黑体"/>
                <w:sz w:val="21"/>
                <w:szCs w:val="21"/>
              </w:rPr>
              <w:fldChar w:fldCharType="end"/>
            </w:r>
            <w:bookmarkEnd w:id="1"/>
          </w:p>
        </w:tc>
      </w:tr>
    </w:tbl>
    <w:tbl>
      <w:tblPr>
        <w:tblStyle w:val="30"/>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4C15073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25DEFB10">
            <w:pPr>
              <w:pStyle w:val="54"/>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37</w:t>
            </w:r>
            <w:r>
              <w:fldChar w:fldCharType="end"/>
            </w:r>
            <w:bookmarkEnd w:id="3"/>
          </w:p>
        </w:tc>
      </w:tr>
    </w:tbl>
    <w:p w14:paraId="507EF044">
      <w:pPr>
        <w:pStyle w:val="55"/>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山东省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6EDCE05D">
      <w:pPr>
        <w:pStyle w:val="200"/>
        <w:frame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37</w:t>
      </w:r>
      <w:r>
        <w:rPr>
          <w:lang w:val="fr-FR"/>
        </w:rPr>
        <w:t>/T</w:t>
      </w:r>
      <w:r>
        <w:fldChar w:fldCharType="end"/>
      </w:r>
      <w:bookmarkEnd w:id="5"/>
      <w:r>
        <w:rPr>
          <w:rFonts w:hint="eastAsia"/>
        </w:rPr>
        <w:t xml:space="preserve"> </w:t>
      </w:r>
      <w:r>
        <w:t>XXXX</w:t>
      </w:r>
      <w:r>
        <w:rPr>
          <w:rFonts w:hAnsi="黑体"/>
          <w:lang w:val="fr-FR"/>
        </w:rPr>
        <w:t>—</w:t>
      </w:r>
      <w:r>
        <w:t>XXXX</w:t>
      </w:r>
    </w:p>
    <w:p w14:paraId="5E631B7D">
      <w:pPr>
        <w:pStyle w:val="201"/>
        <w:framePr/>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14:paraId="0C3C91EC">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1397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d/iPM2AAA&#10;AAwBAAAPAAAAAAAAAAEAIAAAACIAAABkcnMvZG93bnJldi54bWxQSwECFAAUAAAACACHTuJA4fvj&#10;GOUBAACsAwAADgAAAAAAAAABACAAAAAnAQAAZHJzL2Uyb0RvYy54bWxQSwUGAAAAAAYABgBZAQAA&#10;fgUAAAAA&#10;">
                <v:fill on="f" focussize="0,0"/>
                <v:stroke color="#000000" joinstyle="round"/>
                <v:imagedata o:title=""/>
                <o:lock v:ext="edit" aspectratio="f"/>
              </v:line>
            </w:pict>
          </mc:Fallback>
        </mc:AlternateContent>
      </w:r>
    </w:p>
    <w:p w14:paraId="7534D650">
      <w:pPr>
        <w:pStyle w:val="55"/>
        <w:framePr w:w="9639" w:h="6976" w:hRule="exact" w:hSpace="0" w:vSpace="0" w:wrap="around" w:hAnchor="page" w:y="6408"/>
        <w:jc w:val="center"/>
        <w:rPr>
          <w:rFonts w:ascii="黑体" w:hAnsi="黑体" w:eastAsia="黑体"/>
          <w:b w:val="0"/>
          <w:bCs w:val="0"/>
          <w:w w:val="100"/>
        </w:rPr>
      </w:pPr>
    </w:p>
    <w:p w14:paraId="49F4562F">
      <w:pPr>
        <w:pStyle w:val="202"/>
        <w:framePr w:h="6974" w:hRule="exact" w:wrap="around" w:x="1419" w:anchorLock="1"/>
      </w:pPr>
      <w:r>
        <w:fldChar w:fldCharType="begin">
          <w:ffData>
            <w:name w:val="CSTD_NAME"/>
            <w:enabled/>
            <w:calcOnExit w:val="0"/>
            <w:textInput>
              <w:default w:val="净味沥青混合料施工技术规范"/>
            </w:textInput>
          </w:ffData>
        </w:fldChar>
      </w:r>
      <w:bookmarkStart w:id="7" w:name="CSTD_NAME"/>
      <w:r>
        <w:instrText xml:space="preserve"> FORMTEXT </w:instrText>
      </w:r>
      <w:r>
        <w:fldChar w:fldCharType="separate"/>
      </w:r>
      <w:r>
        <w:t>净味沥青混合料施工技术规范</w:t>
      </w:r>
      <w:r>
        <w:fldChar w:fldCharType="end"/>
      </w:r>
      <w:bookmarkEnd w:id="7"/>
    </w:p>
    <w:p w14:paraId="19E21E14">
      <w:pPr>
        <w:framePr w:w="9639" w:h="6974" w:hRule="exact" w:wrap="around" w:vAnchor="page" w:hAnchor="page" w:x="1419" w:y="6408" w:anchorLock="1"/>
        <w:ind w:left="-1418"/>
      </w:pPr>
    </w:p>
    <w:p w14:paraId="07F37A9C">
      <w:pPr>
        <w:pStyle w:val="130"/>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Technical specification for construction of odour-less asphalt mixtures"/>
            </w:textInput>
          </w:ffData>
        </w:fldChar>
      </w:r>
      <w:bookmarkStart w:id="8" w:name="ESTD_NAME"/>
      <w:r>
        <w:rPr>
          <w:rFonts w:eastAsia="黑体"/>
          <w:szCs w:val="28"/>
        </w:rPr>
        <w:instrText xml:space="preserve"> FORMTEXT </w:instrText>
      </w:r>
      <w:r>
        <w:rPr>
          <w:rFonts w:eastAsia="黑体"/>
          <w:szCs w:val="28"/>
        </w:rPr>
        <w:fldChar w:fldCharType="separate"/>
      </w:r>
      <w:r>
        <w:rPr>
          <w:rFonts w:eastAsia="黑体"/>
          <w:szCs w:val="28"/>
        </w:rPr>
        <w:t>Technical specification for construction of odour-less asphalt mixtures</w:t>
      </w:r>
      <w:r>
        <w:rPr>
          <w:rFonts w:eastAsia="黑体"/>
          <w:szCs w:val="28"/>
        </w:rPr>
        <w:fldChar w:fldCharType="end"/>
      </w:r>
      <w:bookmarkEnd w:id="8"/>
    </w:p>
    <w:p w14:paraId="7E45154D">
      <w:pPr>
        <w:framePr w:w="9639" w:h="6974" w:hRule="exact" w:wrap="around" w:vAnchor="page" w:hAnchor="page" w:x="1419" w:y="6408" w:anchorLock="1"/>
        <w:spacing w:line="760" w:lineRule="exact"/>
        <w:ind w:left="-1418"/>
      </w:pPr>
    </w:p>
    <w:p w14:paraId="1A424716">
      <w:pPr>
        <w:pStyle w:val="130"/>
        <w:framePr w:w="9639" w:h="6974" w:hRule="exact" w:wrap="around" w:vAnchor="page" w:hAnchor="page" w:x="1419" w:y="6408" w:anchorLock="1"/>
        <w:textAlignment w:val="bottom"/>
        <w:rPr>
          <w:rFonts w:eastAsia="黑体"/>
          <w:szCs w:val="28"/>
        </w:rPr>
      </w:pPr>
      <w:r>
        <w:rPr>
          <w:rFonts w:hint="eastAsia" w:eastAsia="黑体"/>
          <w:szCs w:val="28"/>
        </w:rPr>
        <w:t>（报批稿）</w:t>
      </w:r>
    </w:p>
    <w:p w14:paraId="45D8DC83">
      <w:pPr>
        <w:pStyle w:val="130"/>
        <w:framePr w:w="9639" w:h="6974" w:hRule="exact" w:wrap="around" w:vAnchor="page" w:hAnchor="page" w:x="1419" w:y="6408" w:anchorLock="1"/>
        <w:spacing w:before="440" w:after="160"/>
        <w:textAlignment w:val="bottom"/>
        <w:rPr>
          <w:sz w:val="24"/>
          <w:szCs w:val="28"/>
        </w:rPr>
      </w:pPr>
    </w:p>
    <w:p w14:paraId="7C55D95E">
      <w:pPr>
        <w:pStyle w:val="130"/>
        <w:framePr w:w="9639" w:h="6974" w:hRule="exact" w:wrap="around" w:vAnchor="page" w:hAnchor="page" w:x="1419" w:y="6408" w:anchorLock="1"/>
        <w:spacing w:before="180" w:line="240" w:lineRule="atLeast"/>
        <w:textAlignment w:val="bottom"/>
        <w:rPr>
          <w:sz w:val="21"/>
          <w:szCs w:val="28"/>
        </w:rPr>
      </w:pPr>
    </w:p>
    <w:p w14:paraId="64164FE5">
      <w:pPr>
        <w:pStyle w:val="130"/>
        <w:framePr w:w="9639" w:h="6974" w:hRule="exact" w:wrap="around" w:vAnchor="page" w:hAnchor="page" w:x="1419" w:y="6408" w:anchorLock="1"/>
        <w:spacing w:before="720" w:beforeLines="300" w:after="72" w:afterLines="30" w:line="240" w:lineRule="auto"/>
        <w:textAlignment w:val="bottom"/>
        <w:rPr>
          <w:b/>
          <w:sz w:val="21"/>
          <w:szCs w:val="28"/>
        </w:rPr>
      </w:pPr>
    </w:p>
    <w:p w14:paraId="1E187108">
      <w:pPr>
        <w:pStyle w:val="198"/>
        <w:framePr w:wrap="around" w:y="14176"/>
      </w:pPr>
      <w:r>
        <w:rPr>
          <w:rFonts w:ascii="黑体"/>
        </w:rPr>
        <w:t>XXXX-XX-XX</w:t>
      </w:r>
      <w:r>
        <w:rPr>
          <w:rFonts w:hint="eastAsia"/>
        </w:rPr>
        <w:t>发布</w:t>
      </w:r>
    </w:p>
    <w:p w14:paraId="387A519C">
      <w:pPr>
        <w:pStyle w:val="199"/>
        <w:framePr w:wrap="around" w:y="14176"/>
      </w:pPr>
      <w:r>
        <w:rPr>
          <w:rFonts w:ascii="黑体"/>
        </w:rPr>
        <w:t>XXXX-XX-XX</w:t>
      </w:r>
      <w:r>
        <w:rPr>
          <w:rFonts w:hint="eastAsia"/>
        </w:rPr>
        <w:t>实施</w:t>
      </w:r>
    </w:p>
    <w:p w14:paraId="7D3A5CB3">
      <w:pPr>
        <w:pStyle w:val="156"/>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9"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山东省市场监督管理局</w:t>
      </w:r>
      <w:r>
        <w:rPr>
          <w:rFonts w:hAnsi="黑体"/>
          <w:w w:val="100"/>
          <w:sz w:val="28"/>
        </w:rPr>
        <w:fldChar w:fldCharType="end"/>
      </w:r>
      <w:bookmarkEnd w:id="9"/>
      <w:r>
        <w:rPr>
          <w:rFonts w:ascii="Times New Roman"/>
          <w:w w:val="100"/>
          <w:sz w:val="28"/>
        </w:rPr>
        <w:t>  </w:t>
      </w:r>
      <w:r>
        <w:rPr>
          <w:rStyle w:val="234"/>
          <w:rFonts w:hint="eastAsia" w:hAnsi="黑体"/>
          <w:position w:val="0"/>
        </w:rPr>
        <w:t>发</w:t>
      </w:r>
      <w:r>
        <w:rPr>
          <w:rStyle w:val="234"/>
          <w:rFonts w:hint="eastAsia" w:hAnsi="黑体"/>
          <w:spacing w:val="0"/>
          <w:position w:val="0"/>
        </w:rPr>
        <w:t>布</w:t>
      </w:r>
    </w:p>
    <w:p w14:paraId="322211ED">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1397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AzUM5uMB&#10;AACqAwAADgAAAAAAAAABACAAAAAmAQAAZHJzL2Uyb0RvYy54bWxQSwUGAAAAAAYABgBZAQAAewUA&#10;AAAA&#10;">
                <v:fill on="f" focussize="0,0"/>
                <v:stroke color="#000000" joinstyle="round"/>
                <v:imagedata o:title=""/>
                <o:lock v:ext="edit" aspectratio="f"/>
                <w10:anchorlock/>
              </v:line>
            </w:pict>
          </mc:Fallback>
        </mc:AlternateContent>
      </w:r>
    </w:p>
    <w:p w14:paraId="2DA2713E">
      <w:pPr>
        <w:pStyle w:val="96"/>
        <w:spacing w:after="468"/>
      </w:pPr>
      <w:bookmarkStart w:id="10" w:name="BookMark1"/>
      <w:bookmarkStart w:id="11" w:name="_Toc99810497"/>
      <w:bookmarkStart w:id="12" w:name="_Toc99802740"/>
      <w:bookmarkStart w:id="13" w:name="_Toc100141450"/>
      <w:r>
        <w:rPr>
          <w:rFonts w:hint="eastAsia"/>
          <w:spacing w:val="320"/>
        </w:rPr>
        <w:t>目</w:t>
      </w:r>
      <w:r>
        <w:rPr>
          <w:rFonts w:hint="eastAsia"/>
        </w:rPr>
        <w:t>次</w:t>
      </w:r>
    </w:p>
    <w:p w14:paraId="412681D1">
      <w:pPr>
        <w:pStyle w:val="21"/>
        <w:tabs>
          <w:tab w:val="right" w:leader="dot" w:pos="9354"/>
        </w:tabs>
      </w:pPr>
      <w:r>
        <w:fldChar w:fldCharType="begin"/>
      </w:r>
      <w:r>
        <w:instrText xml:space="preserve"> TOC \o "1-1" \h \t "标准文件_一级条标题,2,标准文件_附录一级条标题,2," </w:instrText>
      </w:r>
      <w:r>
        <w:fldChar w:fldCharType="separate"/>
      </w:r>
      <w:r>
        <w:fldChar w:fldCharType="begin"/>
      </w:r>
      <w:r>
        <w:instrText xml:space="preserve"> HYPERLINK \l "_Toc20597" </w:instrText>
      </w:r>
      <w:r>
        <w:fldChar w:fldCharType="separate"/>
      </w:r>
      <w:r>
        <w:rPr>
          <w:spacing w:val="320"/>
        </w:rPr>
        <w:t>前</w:t>
      </w:r>
      <w:r>
        <w:t>言</w:t>
      </w:r>
      <w:r>
        <w:tab/>
      </w:r>
      <w:r>
        <w:fldChar w:fldCharType="begin"/>
      </w:r>
      <w:r>
        <w:instrText xml:space="preserve"> PAGEREF _Toc20597 \h </w:instrText>
      </w:r>
      <w:r>
        <w:fldChar w:fldCharType="separate"/>
      </w:r>
      <w:r>
        <w:t>II</w:t>
      </w:r>
      <w:r>
        <w:fldChar w:fldCharType="end"/>
      </w:r>
      <w:r>
        <w:fldChar w:fldCharType="end"/>
      </w:r>
    </w:p>
    <w:p w14:paraId="0349AEC9">
      <w:pPr>
        <w:pStyle w:val="21"/>
        <w:tabs>
          <w:tab w:val="right" w:leader="dot" w:pos="9354"/>
        </w:tabs>
      </w:pPr>
      <w:r>
        <w:fldChar w:fldCharType="begin"/>
      </w:r>
      <w:r>
        <w:instrText xml:space="preserve"> HYPERLINK \l "_Toc18503" </w:instrText>
      </w:r>
      <w:r>
        <w:fldChar w:fldCharType="separate"/>
      </w:r>
      <w:r>
        <w:rPr>
          <w:rFonts w:hint="eastAsia" w:ascii="黑体" w:eastAsia="黑体"/>
        </w:rPr>
        <w:t xml:space="preserve">1 </w:t>
      </w:r>
      <w:r>
        <w:rPr>
          <w:rFonts w:hint="eastAsia"/>
        </w:rPr>
        <w:t>范围</w:t>
      </w:r>
      <w:r>
        <w:tab/>
      </w:r>
      <w:r>
        <w:fldChar w:fldCharType="begin"/>
      </w:r>
      <w:r>
        <w:instrText xml:space="preserve"> PAGEREF _Toc18503 \h </w:instrText>
      </w:r>
      <w:r>
        <w:fldChar w:fldCharType="separate"/>
      </w:r>
      <w:r>
        <w:t>1</w:t>
      </w:r>
      <w:r>
        <w:fldChar w:fldCharType="end"/>
      </w:r>
      <w:r>
        <w:fldChar w:fldCharType="end"/>
      </w:r>
    </w:p>
    <w:p w14:paraId="07B993B5">
      <w:pPr>
        <w:pStyle w:val="21"/>
        <w:tabs>
          <w:tab w:val="right" w:leader="dot" w:pos="9354"/>
        </w:tabs>
      </w:pPr>
      <w:r>
        <w:fldChar w:fldCharType="begin"/>
      </w:r>
      <w:r>
        <w:instrText xml:space="preserve"> HYPERLINK \l "_Toc20517" </w:instrText>
      </w:r>
      <w:r>
        <w:fldChar w:fldCharType="separate"/>
      </w:r>
      <w:r>
        <w:rPr>
          <w:rFonts w:hint="eastAsia" w:ascii="黑体" w:eastAsia="黑体"/>
        </w:rPr>
        <w:t xml:space="preserve">2 </w:t>
      </w:r>
      <w:r>
        <w:rPr>
          <w:rFonts w:hint="eastAsia"/>
        </w:rPr>
        <w:t>规范性引用文件</w:t>
      </w:r>
      <w:r>
        <w:tab/>
      </w:r>
      <w:r>
        <w:fldChar w:fldCharType="begin"/>
      </w:r>
      <w:r>
        <w:instrText xml:space="preserve"> PAGEREF _Toc20517 \h </w:instrText>
      </w:r>
      <w:r>
        <w:fldChar w:fldCharType="separate"/>
      </w:r>
      <w:r>
        <w:t>1</w:t>
      </w:r>
      <w:r>
        <w:fldChar w:fldCharType="end"/>
      </w:r>
      <w:r>
        <w:fldChar w:fldCharType="end"/>
      </w:r>
    </w:p>
    <w:p w14:paraId="7048A16C">
      <w:pPr>
        <w:pStyle w:val="21"/>
        <w:tabs>
          <w:tab w:val="right" w:leader="dot" w:pos="9354"/>
        </w:tabs>
      </w:pPr>
      <w:r>
        <w:fldChar w:fldCharType="begin"/>
      </w:r>
      <w:r>
        <w:instrText xml:space="preserve"> HYPERLINK \l "_Toc31039" </w:instrText>
      </w:r>
      <w:r>
        <w:fldChar w:fldCharType="separate"/>
      </w:r>
      <w:r>
        <w:rPr>
          <w:rFonts w:hint="eastAsia" w:ascii="黑体" w:eastAsia="黑体"/>
        </w:rPr>
        <w:t xml:space="preserve">3 </w:t>
      </w:r>
      <w:r>
        <w:rPr>
          <w:rFonts w:hint="eastAsia"/>
        </w:rPr>
        <w:t>术语和定义</w:t>
      </w:r>
      <w:r>
        <w:tab/>
      </w:r>
      <w:r>
        <w:fldChar w:fldCharType="begin"/>
      </w:r>
      <w:r>
        <w:instrText xml:space="preserve"> PAGEREF _Toc31039 \h </w:instrText>
      </w:r>
      <w:r>
        <w:fldChar w:fldCharType="separate"/>
      </w:r>
      <w:r>
        <w:t>1</w:t>
      </w:r>
      <w:r>
        <w:fldChar w:fldCharType="end"/>
      </w:r>
      <w:r>
        <w:fldChar w:fldCharType="end"/>
      </w:r>
    </w:p>
    <w:p w14:paraId="1CAF9C1D">
      <w:pPr>
        <w:pStyle w:val="21"/>
        <w:tabs>
          <w:tab w:val="right" w:leader="dot" w:pos="9354"/>
        </w:tabs>
      </w:pPr>
      <w:r>
        <w:fldChar w:fldCharType="begin"/>
      </w:r>
      <w:r>
        <w:instrText xml:space="preserve"> HYPERLINK \l "_Toc20418" </w:instrText>
      </w:r>
      <w:r>
        <w:fldChar w:fldCharType="separate"/>
      </w:r>
      <w:r>
        <w:rPr>
          <w:rFonts w:hint="eastAsia" w:ascii="黑体" w:eastAsia="黑体"/>
        </w:rPr>
        <w:t xml:space="preserve">4 </w:t>
      </w:r>
      <w:r>
        <w:rPr>
          <w:rFonts w:hint="eastAsia"/>
        </w:rPr>
        <w:t>材料</w:t>
      </w:r>
      <w:r>
        <w:tab/>
      </w:r>
      <w:r>
        <w:fldChar w:fldCharType="begin"/>
      </w:r>
      <w:r>
        <w:instrText xml:space="preserve"> PAGEREF _Toc20418 \h </w:instrText>
      </w:r>
      <w:r>
        <w:fldChar w:fldCharType="separate"/>
      </w:r>
      <w:r>
        <w:t>2</w:t>
      </w:r>
      <w:r>
        <w:fldChar w:fldCharType="end"/>
      </w:r>
      <w:r>
        <w:fldChar w:fldCharType="end"/>
      </w:r>
    </w:p>
    <w:p w14:paraId="32D6C887">
      <w:pPr>
        <w:pStyle w:val="21"/>
        <w:tabs>
          <w:tab w:val="right" w:leader="dot" w:pos="9354"/>
        </w:tabs>
      </w:pPr>
      <w:r>
        <w:fldChar w:fldCharType="begin"/>
      </w:r>
      <w:r>
        <w:instrText xml:space="preserve"> HYPERLINK \l "_Toc9042" </w:instrText>
      </w:r>
      <w:r>
        <w:fldChar w:fldCharType="separate"/>
      </w:r>
      <w:r>
        <w:rPr>
          <w:rFonts w:hint="eastAsia" w:ascii="黑体" w:eastAsia="黑体"/>
        </w:rPr>
        <w:t xml:space="preserve">5 </w:t>
      </w:r>
      <w:r>
        <w:rPr>
          <w:rFonts w:hint="eastAsia"/>
        </w:rPr>
        <w:t>净味沥青混合料</w:t>
      </w:r>
      <w:r>
        <w:tab/>
      </w:r>
      <w:r>
        <w:fldChar w:fldCharType="begin"/>
      </w:r>
      <w:r>
        <w:instrText xml:space="preserve"> PAGEREF _Toc9042 \h </w:instrText>
      </w:r>
      <w:r>
        <w:fldChar w:fldCharType="separate"/>
      </w:r>
      <w:r>
        <w:t>2</w:t>
      </w:r>
      <w:r>
        <w:fldChar w:fldCharType="end"/>
      </w:r>
      <w:r>
        <w:fldChar w:fldCharType="end"/>
      </w:r>
    </w:p>
    <w:p w14:paraId="6486C194">
      <w:pPr>
        <w:pStyle w:val="21"/>
        <w:tabs>
          <w:tab w:val="right" w:leader="dot" w:pos="9354"/>
        </w:tabs>
      </w:pPr>
      <w:r>
        <w:fldChar w:fldCharType="begin"/>
      </w:r>
      <w:r>
        <w:instrText xml:space="preserve"> HYPERLINK \l "_Toc22863" </w:instrText>
      </w:r>
      <w:r>
        <w:fldChar w:fldCharType="separate"/>
      </w:r>
      <w:r>
        <w:rPr>
          <w:rFonts w:hint="eastAsia" w:ascii="黑体" w:eastAsia="黑体"/>
        </w:rPr>
        <w:t xml:space="preserve">6 </w:t>
      </w:r>
      <w:r>
        <w:rPr>
          <w:rFonts w:hint="eastAsia"/>
        </w:rPr>
        <w:t>施工</w:t>
      </w:r>
      <w:r>
        <w:tab/>
      </w:r>
      <w:r>
        <w:fldChar w:fldCharType="begin"/>
      </w:r>
      <w:r>
        <w:instrText xml:space="preserve"> PAGEREF _Toc22863 \h </w:instrText>
      </w:r>
      <w:r>
        <w:fldChar w:fldCharType="separate"/>
      </w:r>
      <w:r>
        <w:t>3</w:t>
      </w:r>
      <w:r>
        <w:fldChar w:fldCharType="end"/>
      </w:r>
      <w:r>
        <w:fldChar w:fldCharType="end"/>
      </w:r>
    </w:p>
    <w:p w14:paraId="16DA4D42">
      <w:pPr>
        <w:pStyle w:val="21"/>
        <w:tabs>
          <w:tab w:val="right" w:leader="dot" w:pos="9354"/>
        </w:tabs>
      </w:pPr>
      <w:r>
        <w:fldChar w:fldCharType="begin"/>
      </w:r>
      <w:r>
        <w:instrText xml:space="preserve"> HYPERLINK \l "_Toc4076" </w:instrText>
      </w:r>
      <w:r>
        <w:fldChar w:fldCharType="separate"/>
      </w:r>
      <w:r>
        <w:rPr>
          <w:rFonts w:hint="eastAsia" w:ascii="黑体" w:eastAsia="黑体"/>
        </w:rPr>
        <w:t xml:space="preserve">7 </w:t>
      </w:r>
      <w:r>
        <w:rPr>
          <w:rFonts w:hint="eastAsia"/>
        </w:rPr>
        <w:t>质量管理</w:t>
      </w:r>
      <w:r>
        <w:tab/>
      </w:r>
      <w:r>
        <w:fldChar w:fldCharType="begin"/>
      </w:r>
      <w:r>
        <w:instrText xml:space="preserve"> PAGEREF _Toc4076 \h </w:instrText>
      </w:r>
      <w:r>
        <w:fldChar w:fldCharType="separate"/>
      </w:r>
      <w:r>
        <w:t>4</w:t>
      </w:r>
      <w:r>
        <w:fldChar w:fldCharType="end"/>
      </w:r>
      <w:r>
        <w:fldChar w:fldCharType="end"/>
      </w:r>
    </w:p>
    <w:p w14:paraId="7D734EF2">
      <w:pPr>
        <w:pStyle w:val="21"/>
        <w:tabs>
          <w:tab w:val="right" w:leader="dot" w:pos="9354"/>
        </w:tabs>
      </w:pPr>
      <w:r>
        <w:fldChar w:fldCharType="begin"/>
      </w:r>
      <w:r>
        <w:instrText xml:space="preserve"> HYPERLINK \l "_Toc12518" </w:instrText>
      </w:r>
      <w:r>
        <w:fldChar w:fldCharType="separate"/>
      </w:r>
      <w:r>
        <w:rPr>
          <w:rFonts w:hint="eastAsia"/>
          <w:spacing w:val="100"/>
        </w:rPr>
        <w:t xml:space="preserve">附录A </w:t>
      </w:r>
      <w:r>
        <w:t xml:space="preserve"> </w:t>
      </w:r>
      <w:r>
        <w:rPr>
          <w:rFonts w:hint="eastAsia"/>
        </w:rPr>
        <w:t>（规范性）</w:t>
      </w:r>
      <w:r>
        <w:t xml:space="preserve"> </w:t>
      </w:r>
      <w:r>
        <w:rPr>
          <w:rFonts w:hint="eastAsia"/>
        </w:rPr>
        <w:t>沥青烟气特征污染物采样方法（室内）</w:t>
      </w:r>
      <w:r>
        <w:tab/>
      </w:r>
      <w:r>
        <w:fldChar w:fldCharType="begin"/>
      </w:r>
      <w:r>
        <w:instrText xml:space="preserve"> PAGEREF _Toc12518 \h </w:instrText>
      </w:r>
      <w:r>
        <w:fldChar w:fldCharType="separate"/>
      </w:r>
      <w:r>
        <w:t>5</w:t>
      </w:r>
      <w:r>
        <w:fldChar w:fldCharType="end"/>
      </w:r>
      <w:r>
        <w:fldChar w:fldCharType="end"/>
      </w:r>
    </w:p>
    <w:p w14:paraId="7216FE8C">
      <w:pPr>
        <w:pStyle w:val="21"/>
        <w:tabs>
          <w:tab w:val="right" w:leader="dot" w:pos="9354"/>
        </w:tabs>
      </w:pPr>
      <w:r>
        <w:fldChar w:fldCharType="begin"/>
      </w:r>
      <w:r>
        <w:instrText xml:space="preserve"> HYPERLINK \l "_Toc6413" </w:instrText>
      </w:r>
      <w:r>
        <w:fldChar w:fldCharType="separate"/>
      </w:r>
      <w:r>
        <w:rPr>
          <w:rFonts w:hint="eastAsia"/>
          <w:spacing w:val="105"/>
        </w:rPr>
        <w:t>参考文</w:t>
      </w:r>
      <w:r>
        <w:rPr>
          <w:rFonts w:hint="eastAsia"/>
        </w:rPr>
        <w:t>献</w:t>
      </w:r>
      <w:r>
        <w:tab/>
      </w:r>
      <w:r>
        <w:fldChar w:fldCharType="begin"/>
      </w:r>
      <w:r>
        <w:instrText xml:space="preserve"> PAGEREF _Toc6413 \h </w:instrText>
      </w:r>
      <w:r>
        <w:fldChar w:fldCharType="separate"/>
      </w:r>
      <w:r>
        <w:t>6</w:t>
      </w:r>
      <w:r>
        <w:fldChar w:fldCharType="end"/>
      </w:r>
      <w:r>
        <w:fldChar w:fldCharType="end"/>
      </w:r>
    </w:p>
    <w:p w14:paraId="5EDDA8F3">
      <w:pPr>
        <w:pStyle w:val="96"/>
        <w:spacing w:after="468"/>
        <w:sectPr>
          <w:headerReference r:id="rId11" w:type="default"/>
          <w:footerReference r:id="rId13" w:type="default"/>
          <w:headerReference r:id="rId12" w:type="even"/>
          <w:pgSz w:w="11906" w:h="16838"/>
          <w:pgMar w:top="2410" w:right="1134" w:bottom="1134" w:left="1134" w:header="1418" w:footer="1134" w:gutter="284"/>
          <w:pgNumType w:fmt="upperRoman" w:start="1"/>
          <w:cols w:space="425" w:num="1"/>
          <w:formProt w:val="0"/>
          <w:docGrid w:type="lines" w:linePitch="312" w:charSpace="0"/>
        </w:sectPr>
      </w:pPr>
      <w:r>
        <w:fldChar w:fldCharType="end"/>
      </w:r>
    </w:p>
    <w:bookmarkEnd w:id="10"/>
    <w:p w14:paraId="001035CC">
      <w:pPr>
        <w:pStyle w:val="94"/>
        <w:spacing w:after="468"/>
      </w:pPr>
      <w:bookmarkStart w:id="14" w:name="_Toc182227649"/>
      <w:bookmarkStart w:id="15" w:name="_Toc20597"/>
      <w:bookmarkStart w:id="16" w:name="BookMark2"/>
      <w:r>
        <w:rPr>
          <w:spacing w:val="320"/>
        </w:rPr>
        <w:t>前</w:t>
      </w:r>
      <w:r>
        <w:t>言</w:t>
      </w:r>
      <w:bookmarkEnd w:id="11"/>
      <w:bookmarkEnd w:id="12"/>
      <w:bookmarkEnd w:id="13"/>
      <w:bookmarkEnd w:id="14"/>
      <w:bookmarkEnd w:id="15"/>
    </w:p>
    <w:p w14:paraId="4232773A">
      <w:pPr>
        <w:pStyle w:val="61"/>
        <w:ind w:firstLine="420"/>
      </w:pPr>
      <w:r>
        <w:rPr>
          <w:rFonts w:hint="eastAsia"/>
        </w:rPr>
        <w:t>本文件按照GB/T 1.1—2020《标准化工作导则  第1部分：标准化文件的结构和起草规则》的规定起草。</w:t>
      </w:r>
    </w:p>
    <w:p w14:paraId="32AD415C">
      <w:pPr>
        <w:pStyle w:val="61"/>
        <w:ind w:firstLine="420"/>
      </w:pPr>
      <w:r>
        <w:rPr>
          <w:rFonts w:hint="eastAsia"/>
        </w:rPr>
        <w:t>请注意本文件的某些内容可能涉及专利。本文件的发布机构不承担识别专利的责任。</w:t>
      </w:r>
    </w:p>
    <w:p w14:paraId="25254B84">
      <w:pPr>
        <w:pStyle w:val="61"/>
        <w:ind w:firstLine="420"/>
      </w:pPr>
      <w:r>
        <w:rPr>
          <w:rFonts w:hint="eastAsia"/>
        </w:rPr>
        <w:t>本文件由山东省交通运输厅提出并组织实施。</w:t>
      </w:r>
    </w:p>
    <w:p w14:paraId="1D3432EE">
      <w:pPr>
        <w:pStyle w:val="61"/>
        <w:ind w:firstLine="420"/>
      </w:pPr>
      <w:r>
        <w:rPr>
          <w:rFonts w:hint="eastAsia"/>
        </w:rPr>
        <w:t>本文件由山东省交通运输标准化技术委员会归口。</w:t>
      </w:r>
    </w:p>
    <w:p w14:paraId="4EC7AF0F">
      <w:pPr>
        <w:pStyle w:val="61"/>
        <w:ind w:firstLine="420"/>
        <w:sectPr>
          <w:pgSz w:w="11906" w:h="16838"/>
          <w:pgMar w:top="2410" w:right="1134" w:bottom="1134" w:left="1134" w:header="1418" w:footer="1134" w:gutter="284"/>
          <w:pgNumType w:fmt="upperRoman"/>
          <w:cols w:space="425" w:num="1"/>
          <w:formProt w:val="0"/>
          <w:docGrid w:type="lines" w:linePitch="312" w:charSpace="0"/>
        </w:sectPr>
      </w:pPr>
    </w:p>
    <w:bookmarkEnd w:id="16"/>
    <w:p w14:paraId="60E9E26D">
      <w:pPr>
        <w:spacing w:line="20" w:lineRule="exact"/>
        <w:jc w:val="center"/>
        <w:rPr>
          <w:rFonts w:ascii="黑体" w:hAnsi="黑体" w:eastAsia="黑体"/>
          <w:sz w:val="32"/>
          <w:szCs w:val="32"/>
        </w:rPr>
      </w:pPr>
      <w:bookmarkStart w:id="17" w:name="BookMark4"/>
    </w:p>
    <w:p w14:paraId="15B057D1">
      <w:pPr>
        <w:spacing w:line="20" w:lineRule="exact"/>
        <w:jc w:val="center"/>
        <w:rPr>
          <w:rFonts w:ascii="黑体" w:hAnsi="黑体" w:eastAsia="黑体"/>
          <w:sz w:val="32"/>
          <w:szCs w:val="32"/>
        </w:rPr>
      </w:pPr>
    </w:p>
    <w:p w14:paraId="26135725">
      <w:pPr>
        <w:pStyle w:val="182"/>
        <w:spacing w:before="3" w:beforeLines="1" w:after="686" w:afterLines="220"/>
      </w:pPr>
      <w:bookmarkStart w:id="18" w:name="_Hlk163036499"/>
      <w:bookmarkStart w:id="19" w:name="NEW_STAND_NAME"/>
      <w:sdt>
        <w:sdtPr>
          <w:tag w:val="NEW_STAND_NAME"/>
          <w:id w:val="595910757"/>
          <w:lock w:val="sdtLocked"/>
          <w:placeholder>
            <w:docPart w:val="E1AEC4D003614D1880029616512875CA"/>
          </w:placeholder>
        </w:sdtPr>
        <w:sdtContent>
          <w:r>
            <w:rPr>
              <w:rFonts w:hint="eastAsia"/>
            </w:rPr>
            <w:t>净味沥青混合料施工技术规范</w:t>
          </w:r>
        </w:sdtContent>
      </w:sdt>
      <w:bookmarkEnd w:id="18"/>
    </w:p>
    <w:bookmarkEnd w:id="19"/>
    <w:p w14:paraId="39DD19BD">
      <w:pPr>
        <w:pStyle w:val="109"/>
        <w:spacing w:before="312" w:after="312"/>
      </w:pPr>
      <w:bookmarkStart w:id="20" w:name="_Toc26986771"/>
      <w:bookmarkStart w:id="21" w:name="_Toc26718930"/>
      <w:bookmarkStart w:id="22" w:name="_Toc26986530"/>
      <w:bookmarkStart w:id="23" w:name="_Toc18503"/>
      <w:bookmarkStart w:id="24" w:name="_Toc24884218"/>
      <w:bookmarkStart w:id="25" w:name="_Toc17233325"/>
      <w:bookmarkStart w:id="26" w:name="_Toc17233333"/>
      <w:bookmarkStart w:id="27" w:name="_Toc26648465"/>
      <w:bookmarkStart w:id="28" w:name="_Toc99802741"/>
      <w:bookmarkStart w:id="29" w:name="_Toc100141451"/>
      <w:bookmarkStart w:id="30" w:name="_Toc99810498"/>
      <w:bookmarkStart w:id="31" w:name="_Toc24884211"/>
      <w:r>
        <w:rPr>
          <w:rFonts w:hint="eastAsia"/>
        </w:rPr>
        <w:t>范围</w:t>
      </w:r>
      <w:bookmarkEnd w:id="20"/>
      <w:bookmarkEnd w:id="21"/>
      <w:bookmarkEnd w:id="22"/>
      <w:bookmarkEnd w:id="23"/>
      <w:bookmarkEnd w:id="24"/>
      <w:bookmarkEnd w:id="25"/>
      <w:bookmarkEnd w:id="26"/>
      <w:bookmarkEnd w:id="27"/>
      <w:bookmarkEnd w:id="28"/>
      <w:bookmarkEnd w:id="29"/>
      <w:bookmarkEnd w:id="30"/>
      <w:bookmarkEnd w:id="31"/>
    </w:p>
    <w:p w14:paraId="5536DA4C">
      <w:pPr>
        <w:pStyle w:val="61"/>
        <w:ind w:firstLine="420"/>
      </w:pPr>
      <w:bookmarkStart w:id="32" w:name="_Toc17233334"/>
      <w:bookmarkStart w:id="33" w:name="_Toc24884219"/>
      <w:bookmarkStart w:id="34" w:name="_Toc24884212"/>
      <w:bookmarkStart w:id="35" w:name="_Toc17233326"/>
      <w:bookmarkStart w:id="36" w:name="_Toc26648466"/>
      <w:r>
        <w:rPr>
          <w:rFonts w:hint="eastAsia"/>
        </w:rPr>
        <w:t>本文件规定了净味沥青及其混合料在材料、净味沥青混合料、施工、质量管理等方面的要求。</w:t>
      </w:r>
    </w:p>
    <w:p w14:paraId="7D78F5E2">
      <w:pPr>
        <w:pStyle w:val="61"/>
        <w:ind w:firstLine="420"/>
      </w:pPr>
      <w:r>
        <w:rPr>
          <w:rFonts w:hint="eastAsia"/>
        </w:rPr>
        <w:t>本文件适用于公路净味沥青混合料的设计与施工。</w:t>
      </w:r>
    </w:p>
    <w:p w14:paraId="14AD7333">
      <w:pPr>
        <w:pStyle w:val="109"/>
        <w:spacing w:before="312" w:after="312"/>
      </w:pPr>
      <w:bookmarkStart w:id="37" w:name="_Toc20517"/>
      <w:bookmarkStart w:id="38" w:name="_Toc26986531"/>
      <w:bookmarkStart w:id="39" w:name="_Toc26718931"/>
      <w:bookmarkStart w:id="40" w:name="_Toc99810499"/>
      <w:bookmarkStart w:id="41" w:name="_Toc99802742"/>
      <w:bookmarkStart w:id="42" w:name="_Toc26986772"/>
      <w:bookmarkStart w:id="43" w:name="_Toc100141452"/>
      <w:r>
        <w:rPr>
          <w:rFonts w:hint="eastAsia"/>
        </w:rPr>
        <w:t>规范性引用文件</w:t>
      </w:r>
      <w:bookmarkEnd w:id="32"/>
      <w:bookmarkEnd w:id="33"/>
      <w:bookmarkEnd w:id="34"/>
      <w:bookmarkEnd w:id="35"/>
      <w:bookmarkEnd w:id="36"/>
      <w:bookmarkEnd w:id="37"/>
      <w:bookmarkEnd w:id="38"/>
      <w:bookmarkEnd w:id="39"/>
      <w:bookmarkEnd w:id="40"/>
      <w:bookmarkEnd w:id="41"/>
      <w:bookmarkEnd w:id="42"/>
      <w:bookmarkEnd w:id="43"/>
    </w:p>
    <w:sdt>
      <w:sdtPr>
        <w:rPr>
          <w:rFonts w:hint="eastAsia"/>
        </w:rPr>
        <w:id w:val="715848253"/>
        <w:placeholder>
          <w:docPart w:val="6CE5BDF886ED443A979C89EDC5EDF5E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E598ED9">
          <w:pPr>
            <w:pStyle w:val="6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A8498C7">
      <w:pPr>
        <w:pStyle w:val="61"/>
        <w:ind w:firstLine="420"/>
      </w:pPr>
      <w:bookmarkStart w:id="44" w:name="OLE_LINK1"/>
      <w:bookmarkStart w:id="45" w:name="OLE_LINK11"/>
      <w:r>
        <w:t>GB/T 43882</w:t>
      </w:r>
      <w:bookmarkEnd w:id="44"/>
      <w:r>
        <w:rPr>
          <w:rFonts w:hint="eastAsia"/>
        </w:rPr>
        <w:t xml:space="preserve"> 净味沥青混凝土</w:t>
      </w:r>
    </w:p>
    <w:bookmarkEnd w:id="45"/>
    <w:p w14:paraId="71B4EB89">
      <w:pPr>
        <w:pStyle w:val="61"/>
        <w:ind w:firstLine="420"/>
      </w:pPr>
      <w:r>
        <w:rPr>
          <w:rFonts w:hint="eastAsia"/>
        </w:rPr>
        <w:t>HJ/T 56 固定污染源排气中二氧化硫的测定 碘量法</w:t>
      </w:r>
    </w:p>
    <w:p w14:paraId="31194734">
      <w:pPr>
        <w:pStyle w:val="61"/>
        <w:ind w:firstLine="420"/>
      </w:pPr>
      <w:r>
        <w:rPr>
          <w:rFonts w:hint="eastAsia"/>
        </w:rPr>
        <w:t>HJ 644 环境空气 挥发性有机物的测定 吸附管采样-热脱附气相色谱-质谱法</w:t>
      </w:r>
    </w:p>
    <w:p w14:paraId="0C1CFEA5">
      <w:pPr>
        <w:pStyle w:val="61"/>
        <w:ind w:firstLine="420"/>
      </w:pPr>
      <w:r>
        <w:rPr>
          <w:rFonts w:hint="eastAsia"/>
        </w:rPr>
        <w:t>HJ 1388 固定污染源废气 硫化氢的测定 亚甲基蓝分光光度法</w:t>
      </w:r>
    </w:p>
    <w:p w14:paraId="5E006FAA">
      <w:pPr>
        <w:pStyle w:val="61"/>
        <w:ind w:firstLine="420"/>
      </w:pPr>
      <w:r>
        <w:rPr>
          <w:rFonts w:hint="eastAsia"/>
        </w:rPr>
        <w:t>JTG F40 公路沥青路面施工技术规范</w:t>
      </w:r>
    </w:p>
    <w:p w14:paraId="75D112E0">
      <w:pPr>
        <w:pStyle w:val="61"/>
        <w:ind w:firstLine="420"/>
      </w:pPr>
      <w:r>
        <w:rPr>
          <w:rFonts w:hint="eastAsia"/>
        </w:rPr>
        <w:t>JTG F80/1 公路工程质量检验评定标准 第一册 土建工程</w:t>
      </w:r>
    </w:p>
    <w:p w14:paraId="2B549503">
      <w:pPr>
        <w:pStyle w:val="61"/>
        <w:ind w:firstLine="420"/>
      </w:pPr>
      <w:r>
        <w:t xml:space="preserve">JT/T 533 </w:t>
      </w:r>
      <w:r>
        <w:rPr>
          <w:rFonts w:hint="eastAsia"/>
        </w:rPr>
        <w:t>沥青路面用纤维</w:t>
      </w:r>
    </w:p>
    <w:p w14:paraId="25B557AB">
      <w:pPr>
        <w:pStyle w:val="61"/>
        <w:ind w:firstLine="420"/>
      </w:pPr>
      <w:r>
        <w:rPr>
          <w:rFonts w:hint="eastAsia"/>
        </w:rPr>
        <w:t>JT/T 798 路用废胎胶粉橡胶沥青</w:t>
      </w:r>
    </w:p>
    <w:p w14:paraId="262F4A2A">
      <w:pPr>
        <w:pStyle w:val="61"/>
        <w:ind w:firstLine="420"/>
      </w:pPr>
      <w:r>
        <w:rPr>
          <w:rFonts w:hint="eastAsia"/>
        </w:rPr>
        <w:t>DB37/T 3564 抗车辙抗疲劳高模量沥青混合料设计与施工技术规范</w:t>
      </w:r>
    </w:p>
    <w:p w14:paraId="2D9D3B8A">
      <w:pPr>
        <w:pStyle w:val="61"/>
        <w:ind w:firstLine="420"/>
      </w:pPr>
      <w:r>
        <w:rPr>
          <w:rFonts w:hint="eastAsia"/>
        </w:rPr>
        <w:t>DB37/T 4382 环保稳定型胶粉改性沥青及混合料施工技术规程</w:t>
      </w:r>
    </w:p>
    <w:p w14:paraId="4365CF33">
      <w:pPr>
        <w:pStyle w:val="109"/>
        <w:spacing w:before="312" w:after="312"/>
      </w:pPr>
      <w:bookmarkStart w:id="46" w:name="_Toc31039"/>
      <w:bookmarkStart w:id="47" w:name="_Toc100141453"/>
      <w:bookmarkStart w:id="48" w:name="_Toc99810500"/>
      <w:bookmarkStart w:id="49" w:name="_Toc99802743"/>
      <w:r>
        <w:rPr>
          <w:rFonts w:hint="eastAsia"/>
          <w:szCs w:val="21"/>
        </w:rPr>
        <w:t>术语和定义</w:t>
      </w:r>
      <w:bookmarkEnd w:id="46"/>
      <w:bookmarkEnd w:id="47"/>
      <w:bookmarkEnd w:id="48"/>
      <w:bookmarkEnd w:id="49"/>
    </w:p>
    <w:sdt>
      <w:sdtPr>
        <w:id w:val="-1909835108"/>
        <w:placeholder>
          <w:docPart w:val="D02DD0BA0D4F43A8B537D9C5FA2E5A7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4946DED">
          <w:pPr>
            <w:pStyle w:val="61"/>
            <w:ind w:firstLine="420"/>
          </w:pPr>
          <w:bookmarkStart w:id="50" w:name="_Toc26986532"/>
          <w:bookmarkEnd w:id="50"/>
          <w:r>
            <w:t>下列术语和定义适用于本文件。</w:t>
          </w:r>
        </w:p>
      </w:sdtContent>
    </w:sdt>
    <w:p w14:paraId="7D97418C">
      <w:pPr>
        <w:pStyle w:val="228"/>
        <w:ind w:left="420" w:hanging="420" w:hangingChars="200"/>
        <w:rPr>
          <w:rFonts w:ascii="黑体" w:hAnsi="黑体" w:eastAsia="黑体"/>
        </w:rPr>
      </w:pPr>
      <w:r>
        <w:rPr>
          <w:rFonts w:ascii="黑体" w:hAnsi="黑体" w:eastAsia="黑体"/>
        </w:rPr>
        <w:br w:type="textWrapping"/>
      </w:r>
      <w:r>
        <w:rPr>
          <w:rFonts w:hint="eastAsia" w:ascii="黑体" w:hAnsi="黑体" w:eastAsia="黑体"/>
        </w:rPr>
        <w:t>净味剂　</w:t>
      </w:r>
      <w:r>
        <w:rPr>
          <w:rFonts w:ascii="黑体" w:hAnsi="黑体" w:eastAsia="黑体"/>
        </w:rPr>
        <w:t>odour-less additive</w:t>
      </w:r>
    </w:p>
    <w:p w14:paraId="3553A421">
      <w:pPr>
        <w:pStyle w:val="61"/>
        <w:ind w:firstLine="420"/>
      </w:pPr>
      <w:r>
        <w:rPr>
          <w:rFonts w:hint="eastAsia"/>
        </w:rPr>
        <w:t>与沥青烟中的气味分子进行吸附或反应，有效抑制有害物质挥发的添加材料。</w:t>
      </w:r>
    </w:p>
    <w:p w14:paraId="06381E22">
      <w:pPr>
        <w:pStyle w:val="61"/>
        <w:ind w:firstLine="420"/>
      </w:pPr>
      <w:bookmarkStart w:id="51" w:name="OLE_LINK2"/>
      <w:r>
        <w:rPr>
          <w:rFonts w:hint="eastAsia"/>
        </w:rPr>
        <w:t>[来源：</w:t>
      </w:r>
      <w:bookmarkStart w:id="52" w:name="OLE_LINK3"/>
      <w:r>
        <w:t>GB/T 43882</w:t>
      </w:r>
      <w:r>
        <w:rPr>
          <w:rFonts w:hint="eastAsia"/>
        </w:rPr>
        <w:t>—2024，3.1</w:t>
      </w:r>
      <w:bookmarkEnd w:id="52"/>
      <w:r>
        <w:rPr>
          <w:rFonts w:hint="eastAsia"/>
        </w:rPr>
        <w:t>]</w:t>
      </w:r>
    </w:p>
    <w:bookmarkEnd w:id="51"/>
    <w:p w14:paraId="34FFC2CF">
      <w:pPr>
        <w:pStyle w:val="228"/>
        <w:ind w:left="420" w:hanging="420" w:hangingChars="200"/>
        <w:rPr>
          <w:rFonts w:ascii="黑体" w:hAnsi="黑体" w:eastAsia="黑体"/>
        </w:rPr>
      </w:pPr>
      <w:r>
        <w:rPr>
          <w:rFonts w:ascii="黑体" w:hAnsi="黑体" w:eastAsia="黑体"/>
        </w:rPr>
        <w:br w:type="textWrapping"/>
      </w:r>
      <w:r>
        <w:rPr>
          <w:rFonts w:hint="eastAsia" w:ascii="黑体" w:hAnsi="黑体" w:eastAsia="黑体"/>
        </w:rPr>
        <w:t>净味沥青　</w:t>
      </w:r>
      <w:r>
        <w:rPr>
          <w:rFonts w:ascii="黑体" w:hAnsi="黑体" w:eastAsia="黑体"/>
        </w:rPr>
        <w:t>odour-less asphalt</w:t>
      </w:r>
    </w:p>
    <w:p w14:paraId="4A4C5BAB">
      <w:pPr>
        <w:pStyle w:val="61"/>
        <w:ind w:firstLine="420"/>
      </w:pPr>
      <w:r>
        <w:rPr>
          <w:rFonts w:hint="eastAsia"/>
        </w:rPr>
        <w:t>添加净味剂制备而成的沥青。</w:t>
      </w:r>
    </w:p>
    <w:p w14:paraId="2D9E8904">
      <w:pPr>
        <w:pStyle w:val="61"/>
        <w:ind w:firstLine="420"/>
      </w:pPr>
      <w:bookmarkStart w:id="53" w:name="OLE_LINK4"/>
      <w:r>
        <w:rPr>
          <w:rFonts w:hint="eastAsia"/>
        </w:rPr>
        <w:t>[来源：</w:t>
      </w:r>
      <w:r>
        <w:t>GB/T 43882</w:t>
      </w:r>
      <w:r>
        <w:rPr>
          <w:rFonts w:hint="eastAsia"/>
        </w:rPr>
        <w:t>—2024，3.2，有修改]</w:t>
      </w:r>
    </w:p>
    <w:bookmarkEnd w:id="53"/>
    <w:p w14:paraId="52744ADF">
      <w:pPr>
        <w:pStyle w:val="228"/>
        <w:ind w:left="420" w:hanging="420" w:hangingChars="200"/>
        <w:rPr>
          <w:rFonts w:ascii="黑体" w:hAnsi="黑体" w:eastAsia="黑体"/>
        </w:rPr>
      </w:pPr>
      <w:r>
        <w:rPr>
          <w:rFonts w:ascii="黑体" w:hAnsi="黑体" w:eastAsia="黑体"/>
        </w:rPr>
        <w:br w:type="textWrapping"/>
      </w:r>
      <w:r>
        <w:rPr>
          <w:rFonts w:hint="eastAsia" w:ascii="黑体" w:hAnsi="黑体" w:eastAsia="黑体"/>
        </w:rPr>
        <w:t>净味沥青混合料　</w:t>
      </w:r>
      <w:r>
        <w:rPr>
          <w:rFonts w:ascii="黑体" w:hAnsi="黑体" w:eastAsia="黑体"/>
        </w:rPr>
        <w:t>odour-less asphalt</w:t>
      </w:r>
      <w:r>
        <w:rPr>
          <w:rFonts w:hint="eastAsia" w:ascii="黑体" w:hAnsi="黑体" w:eastAsia="黑体"/>
        </w:rPr>
        <w:t xml:space="preserve"> mixtures</w:t>
      </w:r>
    </w:p>
    <w:p w14:paraId="48CD5964">
      <w:pPr>
        <w:pStyle w:val="61"/>
        <w:ind w:firstLine="420"/>
      </w:pPr>
      <w:r>
        <w:rPr>
          <w:rFonts w:hint="eastAsia"/>
        </w:rPr>
        <w:t>由净味沥青与矿料拌和而成的混合料。</w:t>
      </w:r>
    </w:p>
    <w:p w14:paraId="59DC5C40">
      <w:pPr>
        <w:pStyle w:val="61"/>
        <w:ind w:firstLine="420"/>
      </w:pPr>
      <w:r>
        <w:rPr>
          <w:rFonts w:hint="eastAsia"/>
        </w:rPr>
        <w:t>[来源：</w:t>
      </w:r>
      <w:r>
        <w:t>GB/T 43882</w:t>
      </w:r>
      <w:r>
        <w:rPr>
          <w:rFonts w:hint="eastAsia"/>
        </w:rPr>
        <w:t>—2024，3.3，有修改]</w:t>
      </w:r>
    </w:p>
    <w:p w14:paraId="58B0B368">
      <w:pPr>
        <w:pStyle w:val="228"/>
        <w:ind w:left="420" w:hanging="420" w:hangingChars="200"/>
        <w:rPr>
          <w:rFonts w:ascii="黑体" w:hAnsi="黑体" w:eastAsia="黑体"/>
        </w:rPr>
      </w:pPr>
      <w:r>
        <w:rPr>
          <w:rFonts w:ascii="黑体" w:hAnsi="黑体" w:eastAsia="黑体"/>
        </w:rPr>
        <w:br w:type="textWrapping"/>
      </w:r>
      <w:r>
        <w:rPr>
          <w:rFonts w:hint="eastAsia" w:ascii="黑体" w:hAnsi="黑体" w:eastAsia="黑体"/>
        </w:rPr>
        <w:t>特征污染物　characteristic pollutants</w:t>
      </w:r>
    </w:p>
    <w:p w14:paraId="640955FC">
      <w:pPr>
        <w:pStyle w:val="61"/>
        <w:ind w:firstLine="420"/>
      </w:pPr>
      <w:r>
        <w:rPr>
          <w:rFonts w:hint="eastAsia"/>
        </w:rPr>
        <w:t>沥青生产、运输及施工过程中排放的，可能导致潜在污染或对周边环境空气保护目标产生影响的特有污染物。</w:t>
      </w:r>
    </w:p>
    <w:p w14:paraId="1D7DD0B4">
      <w:pPr>
        <w:pStyle w:val="228"/>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挥发性有机物　volatile organic compounds </w:t>
      </w:r>
    </w:p>
    <w:p w14:paraId="0C71FDB7">
      <w:pPr>
        <w:pStyle w:val="61"/>
        <w:ind w:firstLine="420"/>
      </w:pPr>
      <w:r>
        <w:rPr>
          <w:rFonts w:hint="eastAsia"/>
        </w:rPr>
        <w:t>参与大气光化学反应的有机化合物，或者根据有关规定确定的有机化合物。</w:t>
      </w:r>
    </w:p>
    <w:p w14:paraId="13B23F77">
      <w:pPr>
        <w:pStyle w:val="61"/>
        <w:ind w:firstLine="420"/>
      </w:pPr>
      <w:r>
        <w:rPr>
          <w:rFonts w:hint="eastAsia"/>
        </w:rPr>
        <w:t>[来源：GB 37822—2019，3.1]</w:t>
      </w:r>
    </w:p>
    <w:p w14:paraId="152B50E9">
      <w:pPr>
        <w:pStyle w:val="228"/>
        <w:ind w:left="420" w:hanging="420" w:hangingChars="200"/>
        <w:rPr>
          <w:rFonts w:ascii="黑体" w:hAnsi="黑体" w:eastAsia="黑体"/>
        </w:rPr>
      </w:pPr>
      <w:r>
        <w:rPr>
          <w:rFonts w:ascii="黑体" w:hAnsi="黑体" w:eastAsia="黑体"/>
        </w:rPr>
        <w:br w:type="textWrapping"/>
      </w:r>
      <w:r>
        <w:rPr>
          <w:rFonts w:hint="eastAsia" w:ascii="黑体" w:hAnsi="黑体" w:eastAsia="黑体"/>
        </w:rPr>
        <w:t>净化率　purification rate</w:t>
      </w:r>
    </w:p>
    <w:p w14:paraId="1273FA7E">
      <w:pPr>
        <w:pStyle w:val="61"/>
        <w:ind w:firstLine="420"/>
      </w:pPr>
      <w:r>
        <w:rPr>
          <w:rFonts w:hint="eastAsia"/>
        </w:rPr>
        <w:t>沥青添加净味剂后烟气中特征污染物浓度降低量与添加前的比值。</w:t>
      </w:r>
    </w:p>
    <w:p w14:paraId="591E64AC">
      <w:pPr>
        <w:pStyle w:val="109"/>
        <w:spacing w:before="312" w:after="312"/>
      </w:pPr>
      <w:bookmarkStart w:id="54" w:name="_Toc20418"/>
      <w:r>
        <w:rPr>
          <w:rFonts w:hint="eastAsia"/>
        </w:rPr>
        <w:t>材料</w:t>
      </w:r>
      <w:bookmarkEnd w:id="54"/>
    </w:p>
    <w:p w14:paraId="45DE3D4D">
      <w:pPr>
        <w:pStyle w:val="110"/>
        <w:spacing w:before="156" w:after="156"/>
      </w:pPr>
      <w:bookmarkStart w:id="55" w:name="_Toc23280"/>
      <w:r>
        <w:rPr>
          <w:rFonts w:hint="eastAsia"/>
        </w:rPr>
        <w:t>净味沥青</w:t>
      </w:r>
      <w:bookmarkEnd w:id="55"/>
    </w:p>
    <w:p w14:paraId="53116427">
      <w:pPr>
        <w:pStyle w:val="61"/>
        <w:ind w:firstLine="420"/>
      </w:pPr>
      <w:r>
        <w:rPr>
          <w:rFonts w:hint="eastAsia"/>
        </w:rPr>
        <w:t>净味沥青的质量应符合JTG F40、JT/T 798、DB37/T 3564和DB37/T 4382中的技术要求,其特征污染物净化率应符合表1中的技术要求，沥青烟气特征污染物应采用附录A中采样方法。</w:t>
      </w:r>
    </w:p>
    <w:p w14:paraId="12094A64">
      <w:pPr>
        <w:pStyle w:val="117"/>
        <w:numPr>
          <w:ilvl w:val="0"/>
          <w:numId w:val="31"/>
        </w:numPr>
        <w:spacing w:before="156" w:after="156"/>
        <w:rPr>
          <w:rFonts w:hAnsi="黑体"/>
        </w:rPr>
      </w:pPr>
      <w:r>
        <w:rPr>
          <w:rFonts w:hint="eastAsia" w:hAnsi="黑体"/>
        </w:rPr>
        <w:t>净味沥青特征污染物净化率技术要求及试验方法</w:t>
      </w:r>
    </w:p>
    <w:tbl>
      <w:tblPr>
        <w:tblStyle w:val="29"/>
        <w:tblW w:w="4711"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939"/>
        <w:gridCol w:w="1018"/>
        <w:gridCol w:w="1164"/>
        <w:gridCol w:w="875"/>
        <w:gridCol w:w="1027"/>
        <w:gridCol w:w="2809"/>
      </w:tblGrid>
      <w:tr w14:paraId="6D6D75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098" w:type="pct"/>
            <w:vMerge w:val="restart"/>
            <w:vAlign w:val="center"/>
          </w:tcPr>
          <w:p w14:paraId="23B93D54">
            <w:pPr>
              <w:adjustRightInd/>
              <w:spacing w:line="240" w:lineRule="auto"/>
              <w:jc w:val="center"/>
              <w:rPr>
                <w:rFonts w:ascii="宋体" w:hAnsi="宋体"/>
                <w:sz w:val="18"/>
                <w:szCs w:val="18"/>
              </w:rPr>
            </w:pPr>
            <w:r>
              <w:rPr>
                <w:rFonts w:ascii="宋体" w:hAnsi="宋体"/>
                <w:sz w:val="18"/>
                <w:szCs w:val="18"/>
              </w:rPr>
              <w:t>项目</w:t>
            </w:r>
          </w:p>
        </w:tc>
        <w:tc>
          <w:tcPr>
            <w:tcW w:w="2311" w:type="pct"/>
            <w:gridSpan w:val="4"/>
            <w:vAlign w:val="center"/>
          </w:tcPr>
          <w:p w14:paraId="15E3453A">
            <w:pPr>
              <w:adjustRightInd/>
              <w:spacing w:line="240" w:lineRule="auto"/>
              <w:jc w:val="center"/>
              <w:rPr>
                <w:rFonts w:ascii="宋体" w:hAnsi="宋体"/>
                <w:sz w:val="18"/>
                <w:szCs w:val="18"/>
              </w:rPr>
            </w:pPr>
            <w:r>
              <w:rPr>
                <w:rFonts w:ascii="宋体" w:hAnsi="宋体"/>
                <w:sz w:val="18"/>
                <w:szCs w:val="18"/>
              </w:rPr>
              <w:t>技术要求</w:t>
            </w:r>
          </w:p>
        </w:tc>
        <w:tc>
          <w:tcPr>
            <w:tcW w:w="1590" w:type="pct"/>
            <w:vMerge w:val="restart"/>
            <w:vAlign w:val="center"/>
          </w:tcPr>
          <w:p w14:paraId="6616134B">
            <w:pPr>
              <w:adjustRightInd/>
              <w:spacing w:line="240" w:lineRule="auto"/>
              <w:jc w:val="center"/>
              <w:rPr>
                <w:rFonts w:ascii="宋体" w:hAnsi="宋体"/>
                <w:sz w:val="18"/>
                <w:szCs w:val="18"/>
              </w:rPr>
            </w:pPr>
            <w:r>
              <w:rPr>
                <w:rFonts w:ascii="宋体" w:hAnsi="宋体"/>
                <w:sz w:val="18"/>
                <w:szCs w:val="18"/>
              </w:rPr>
              <w:t>试验方法</w:t>
            </w:r>
          </w:p>
        </w:tc>
      </w:tr>
      <w:tr w14:paraId="644852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098" w:type="pct"/>
            <w:vMerge w:val="continue"/>
            <w:vAlign w:val="center"/>
          </w:tcPr>
          <w:p w14:paraId="3A543A49">
            <w:pPr>
              <w:adjustRightInd/>
              <w:spacing w:line="240" w:lineRule="auto"/>
              <w:jc w:val="center"/>
              <w:rPr>
                <w:rFonts w:ascii="宋体" w:hAnsi="宋体"/>
                <w:sz w:val="18"/>
                <w:szCs w:val="18"/>
              </w:rPr>
            </w:pPr>
          </w:p>
        </w:tc>
        <w:tc>
          <w:tcPr>
            <w:tcW w:w="576" w:type="pct"/>
            <w:vAlign w:val="center"/>
          </w:tcPr>
          <w:p w14:paraId="1CFF10FB">
            <w:pPr>
              <w:adjustRightInd/>
              <w:spacing w:line="240" w:lineRule="auto"/>
              <w:jc w:val="center"/>
              <w:rPr>
                <w:rFonts w:ascii="宋体" w:hAnsi="宋体"/>
                <w:sz w:val="18"/>
                <w:szCs w:val="18"/>
              </w:rPr>
            </w:pPr>
            <w:r>
              <w:rPr>
                <w:rFonts w:hint="eastAsia" w:ascii="宋体" w:hAnsi="宋体"/>
                <w:sz w:val="18"/>
                <w:szCs w:val="18"/>
              </w:rPr>
              <w:t>净味道路</w:t>
            </w:r>
          </w:p>
          <w:p w14:paraId="0C7CB639">
            <w:pPr>
              <w:adjustRightInd/>
              <w:spacing w:line="240" w:lineRule="auto"/>
              <w:jc w:val="center"/>
              <w:rPr>
                <w:rFonts w:ascii="宋体" w:hAnsi="宋体"/>
                <w:sz w:val="18"/>
                <w:szCs w:val="18"/>
              </w:rPr>
            </w:pPr>
            <w:r>
              <w:rPr>
                <w:rFonts w:hint="eastAsia" w:ascii="宋体" w:hAnsi="宋体"/>
                <w:sz w:val="18"/>
                <w:szCs w:val="18"/>
              </w:rPr>
              <w:t>石油沥青</w:t>
            </w:r>
          </w:p>
        </w:tc>
        <w:tc>
          <w:tcPr>
            <w:tcW w:w="659" w:type="pct"/>
            <w:vAlign w:val="center"/>
          </w:tcPr>
          <w:p w14:paraId="02020A2C">
            <w:pPr>
              <w:adjustRightInd/>
              <w:spacing w:line="240" w:lineRule="auto"/>
              <w:jc w:val="center"/>
              <w:rPr>
                <w:rFonts w:ascii="宋体" w:hAnsi="宋体"/>
                <w:sz w:val="18"/>
                <w:szCs w:val="18"/>
              </w:rPr>
            </w:pPr>
            <w:r>
              <w:rPr>
                <w:rFonts w:hint="eastAsia" w:ascii="宋体" w:hAnsi="宋体"/>
                <w:sz w:val="18"/>
                <w:szCs w:val="18"/>
              </w:rPr>
              <w:t>净味S</w:t>
            </w:r>
            <w:r>
              <w:rPr>
                <w:rFonts w:ascii="宋体" w:hAnsi="宋体"/>
                <w:sz w:val="18"/>
                <w:szCs w:val="18"/>
              </w:rPr>
              <w:t>BS</w:t>
            </w:r>
            <w:r>
              <w:rPr>
                <w:rFonts w:hint="eastAsia" w:ascii="宋体" w:hAnsi="宋体"/>
                <w:sz w:val="18"/>
                <w:szCs w:val="18"/>
              </w:rPr>
              <w:t>改性沥青</w:t>
            </w:r>
          </w:p>
        </w:tc>
        <w:tc>
          <w:tcPr>
            <w:tcW w:w="495" w:type="pct"/>
            <w:vAlign w:val="center"/>
          </w:tcPr>
          <w:p w14:paraId="212DCBCF">
            <w:pPr>
              <w:adjustRightInd/>
              <w:spacing w:line="240" w:lineRule="auto"/>
              <w:jc w:val="center"/>
              <w:rPr>
                <w:rFonts w:ascii="宋体" w:hAnsi="宋体"/>
                <w:sz w:val="18"/>
                <w:szCs w:val="18"/>
              </w:rPr>
            </w:pPr>
            <w:r>
              <w:rPr>
                <w:rFonts w:hint="eastAsia" w:ascii="宋体" w:hAnsi="宋体"/>
                <w:sz w:val="18"/>
                <w:szCs w:val="18"/>
              </w:rPr>
              <w:t>净味橡胶沥青</w:t>
            </w:r>
          </w:p>
        </w:tc>
        <w:tc>
          <w:tcPr>
            <w:tcW w:w="579" w:type="pct"/>
            <w:vAlign w:val="center"/>
          </w:tcPr>
          <w:p w14:paraId="42F00B3D">
            <w:pPr>
              <w:adjustRightInd/>
              <w:spacing w:line="240" w:lineRule="auto"/>
              <w:jc w:val="center"/>
              <w:rPr>
                <w:rFonts w:ascii="宋体" w:hAnsi="宋体"/>
                <w:sz w:val="18"/>
                <w:szCs w:val="18"/>
              </w:rPr>
            </w:pPr>
            <w:r>
              <w:rPr>
                <w:rFonts w:hint="eastAsia" w:ascii="宋体" w:hAnsi="宋体"/>
                <w:sz w:val="18"/>
                <w:szCs w:val="18"/>
              </w:rPr>
              <w:t>净味高模量改性沥青</w:t>
            </w:r>
          </w:p>
        </w:tc>
        <w:tc>
          <w:tcPr>
            <w:tcW w:w="1590" w:type="pct"/>
            <w:vMerge w:val="continue"/>
            <w:vAlign w:val="center"/>
          </w:tcPr>
          <w:p w14:paraId="5D7C6CE4">
            <w:pPr>
              <w:adjustRightInd/>
              <w:spacing w:line="240" w:lineRule="auto"/>
              <w:jc w:val="center"/>
              <w:rPr>
                <w:rFonts w:ascii="宋体" w:hAnsi="宋体"/>
                <w:sz w:val="18"/>
                <w:szCs w:val="18"/>
              </w:rPr>
            </w:pPr>
          </w:p>
        </w:tc>
      </w:tr>
      <w:tr w14:paraId="72DE81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098" w:type="pct"/>
            <w:vAlign w:val="center"/>
          </w:tcPr>
          <w:p w14:paraId="64988ED2">
            <w:pPr>
              <w:adjustRightInd/>
              <w:spacing w:line="240" w:lineRule="auto"/>
              <w:jc w:val="center"/>
              <w:rPr>
                <w:rFonts w:ascii="宋体" w:hAnsi="宋体"/>
                <w:sz w:val="18"/>
                <w:szCs w:val="18"/>
              </w:rPr>
            </w:pPr>
            <w:r>
              <w:rPr>
                <w:rFonts w:ascii="宋体" w:hAnsi="宋体"/>
                <w:sz w:val="18"/>
                <w:szCs w:val="18"/>
              </w:rPr>
              <w:t>硫化氢</w:t>
            </w:r>
          </w:p>
        </w:tc>
        <w:tc>
          <w:tcPr>
            <w:tcW w:w="576" w:type="pct"/>
            <w:vAlign w:val="center"/>
          </w:tcPr>
          <w:p w14:paraId="7F6F3631">
            <w:pPr>
              <w:adjustRightInd/>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30%</w:t>
            </w:r>
          </w:p>
        </w:tc>
        <w:tc>
          <w:tcPr>
            <w:tcW w:w="659" w:type="pct"/>
            <w:vAlign w:val="center"/>
          </w:tcPr>
          <w:p w14:paraId="766D528A">
            <w:pPr>
              <w:adjustRightInd/>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30%</w:t>
            </w:r>
          </w:p>
        </w:tc>
        <w:tc>
          <w:tcPr>
            <w:tcW w:w="495" w:type="pct"/>
            <w:vAlign w:val="center"/>
          </w:tcPr>
          <w:p w14:paraId="3EBAB4A9">
            <w:pPr>
              <w:adjustRightInd/>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30%</w:t>
            </w:r>
          </w:p>
        </w:tc>
        <w:tc>
          <w:tcPr>
            <w:tcW w:w="579" w:type="pct"/>
            <w:vAlign w:val="center"/>
          </w:tcPr>
          <w:p w14:paraId="7EEB406A">
            <w:pPr>
              <w:adjustRightInd/>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30%</w:t>
            </w:r>
          </w:p>
        </w:tc>
        <w:tc>
          <w:tcPr>
            <w:tcW w:w="1590" w:type="pct"/>
            <w:vAlign w:val="center"/>
          </w:tcPr>
          <w:p w14:paraId="21080ED2">
            <w:pPr>
              <w:adjustRightInd/>
              <w:spacing w:line="240" w:lineRule="auto"/>
              <w:jc w:val="center"/>
              <w:rPr>
                <w:rFonts w:ascii="宋体" w:hAnsi="宋体"/>
                <w:sz w:val="18"/>
                <w:szCs w:val="18"/>
              </w:rPr>
            </w:pPr>
            <w:r>
              <w:rPr>
                <w:rFonts w:hint="eastAsia" w:ascii="宋体" w:hAnsi="宋体"/>
                <w:sz w:val="18"/>
                <w:szCs w:val="18"/>
              </w:rPr>
              <w:t>HJ 1388</w:t>
            </w:r>
          </w:p>
        </w:tc>
      </w:tr>
      <w:tr w14:paraId="0BA688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098" w:type="pct"/>
            <w:vAlign w:val="center"/>
          </w:tcPr>
          <w:p w14:paraId="7B7C3812">
            <w:pPr>
              <w:adjustRightInd/>
              <w:spacing w:line="240" w:lineRule="auto"/>
              <w:jc w:val="center"/>
              <w:rPr>
                <w:rFonts w:ascii="宋体" w:hAnsi="宋体"/>
                <w:sz w:val="18"/>
                <w:szCs w:val="18"/>
              </w:rPr>
            </w:pPr>
            <w:r>
              <w:rPr>
                <w:rFonts w:ascii="宋体" w:hAnsi="宋体"/>
                <w:sz w:val="18"/>
                <w:szCs w:val="18"/>
              </w:rPr>
              <w:t>二氧化硫</w:t>
            </w:r>
          </w:p>
        </w:tc>
        <w:tc>
          <w:tcPr>
            <w:tcW w:w="576" w:type="pct"/>
            <w:vAlign w:val="center"/>
          </w:tcPr>
          <w:p w14:paraId="238297F4">
            <w:pPr>
              <w:adjustRightInd/>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25%</w:t>
            </w:r>
          </w:p>
        </w:tc>
        <w:tc>
          <w:tcPr>
            <w:tcW w:w="659" w:type="pct"/>
            <w:vAlign w:val="center"/>
          </w:tcPr>
          <w:p w14:paraId="49B1B5C0">
            <w:pPr>
              <w:adjustRightInd/>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30%</w:t>
            </w:r>
          </w:p>
        </w:tc>
        <w:tc>
          <w:tcPr>
            <w:tcW w:w="495" w:type="pct"/>
            <w:vAlign w:val="center"/>
          </w:tcPr>
          <w:p w14:paraId="7232D371">
            <w:pPr>
              <w:adjustRightInd/>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25%</w:t>
            </w:r>
          </w:p>
        </w:tc>
        <w:tc>
          <w:tcPr>
            <w:tcW w:w="579" w:type="pct"/>
            <w:vAlign w:val="center"/>
          </w:tcPr>
          <w:p w14:paraId="1DEE23CB">
            <w:pPr>
              <w:adjustRightInd/>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30%</w:t>
            </w:r>
          </w:p>
        </w:tc>
        <w:tc>
          <w:tcPr>
            <w:tcW w:w="1590" w:type="pct"/>
            <w:vAlign w:val="center"/>
          </w:tcPr>
          <w:p w14:paraId="5B855DB8">
            <w:pPr>
              <w:adjustRightInd/>
              <w:spacing w:line="240" w:lineRule="auto"/>
              <w:jc w:val="center"/>
              <w:rPr>
                <w:rFonts w:ascii="宋体" w:hAnsi="宋体"/>
                <w:sz w:val="18"/>
                <w:szCs w:val="18"/>
              </w:rPr>
            </w:pPr>
            <w:r>
              <w:rPr>
                <w:rFonts w:ascii="宋体" w:hAnsi="宋体"/>
                <w:sz w:val="18"/>
                <w:szCs w:val="18"/>
              </w:rPr>
              <w:t>HJ/T 56</w:t>
            </w:r>
          </w:p>
        </w:tc>
      </w:tr>
      <w:tr w14:paraId="2DACDD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098" w:type="pct"/>
            <w:vAlign w:val="center"/>
          </w:tcPr>
          <w:p w14:paraId="49FC49D6">
            <w:pPr>
              <w:adjustRightInd/>
              <w:spacing w:line="240" w:lineRule="auto"/>
              <w:jc w:val="center"/>
              <w:rPr>
                <w:rFonts w:ascii="宋体" w:hAnsi="宋体"/>
                <w:sz w:val="18"/>
                <w:szCs w:val="18"/>
              </w:rPr>
            </w:pPr>
            <w:r>
              <w:rPr>
                <w:rFonts w:ascii="宋体" w:hAnsi="宋体"/>
                <w:sz w:val="18"/>
                <w:szCs w:val="18"/>
              </w:rPr>
              <w:t>挥发性有机物</w:t>
            </w:r>
          </w:p>
        </w:tc>
        <w:tc>
          <w:tcPr>
            <w:tcW w:w="576" w:type="pct"/>
            <w:vAlign w:val="center"/>
          </w:tcPr>
          <w:p w14:paraId="1D67551C">
            <w:pPr>
              <w:adjustRightInd/>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20%</w:t>
            </w:r>
          </w:p>
        </w:tc>
        <w:tc>
          <w:tcPr>
            <w:tcW w:w="659" w:type="pct"/>
            <w:vAlign w:val="center"/>
          </w:tcPr>
          <w:p w14:paraId="25117B3D">
            <w:pPr>
              <w:adjustRightInd/>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25%</w:t>
            </w:r>
          </w:p>
        </w:tc>
        <w:tc>
          <w:tcPr>
            <w:tcW w:w="495" w:type="pct"/>
            <w:vAlign w:val="center"/>
          </w:tcPr>
          <w:p w14:paraId="53F823F0">
            <w:pPr>
              <w:adjustRightInd/>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20%</w:t>
            </w:r>
          </w:p>
        </w:tc>
        <w:tc>
          <w:tcPr>
            <w:tcW w:w="579" w:type="pct"/>
            <w:vAlign w:val="center"/>
          </w:tcPr>
          <w:p w14:paraId="26E6AFD0">
            <w:pPr>
              <w:adjustRightInd/>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30%</w:t>
            </w:r>
          </w:p>
        </w:tc>
        <w:tc>
          <w:tcPr>
            <w:tcW w:w="1590" w:type="pct"/>
            <w:vAlign w:val="center"/>
          </w:tcPr>
          <w:p w14:paraId="66511385">
            <w:pPr>
              <w:adjustRightInd/>
              <w:spacing w:line="240" w:lineRule="auto"/>
              <w:jc w:val="center"/>
              <w:rPr>
                <w:rFonts w:ascii="宋体" w:hAnsi="宋体"/>
                <w:sz w:val="18"/>
                <w:szCs w:val="18"/>
              </w:rPr>
            </w:pPr>
            <w:r>
              <w:rPr>
                <w:rFonts w:ascii="宋体" w:hAnsi="宋体"/>
                <w:sz w:val="18"/>
                <w:szCs w:val="18"/>
              </w:rPr>
              <w:t>HJ 644</w:t>
            </w:r>
          </w:p>
        </w:tc>
      </w:tr>
      <w:tr w14:paraId="0E22BC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098" w:type="pct"/>
            <w:vAlign w:val="center"/>
          </w:tcPr>
          <w:p w14:paraId="689363FE">
            <w:pPr>
              <w:adjustRightInd/>
              <w:spacing w:line="240" w:lineRule="auto"/>
              <w:jc w:val="center"/>
              <w:rPr>
                <w:rFonts w:ascii="宋体" w:hAnsi="宋体"/>
                <w:sz w:val="18"/>
                <w:szCs w:val="18"/>
              </w:rPr>
            </w:pPr>
            <w:r>
              <w:rPr>
                <w:rFonts w:ascii="宋体" w:hAnsi="宋体"/>
                <w:sz w:val="18"/>
                <w:szCs w:val="18"/>
              </w:rPr>
              <w:t>挥发性有机物中甲苯</w:t>
            </w:r>
          </w:p>
        </w:tc>
        <w:tc>
          <w:tcPr>
            <w:tcW w:w="576" w:type="pct"/>
            <w:vAlign w:val="center"/>
          </w:tcPr>
          <w:p w14:paraId="246FB656">
            <w:pPr>
              <w:adjustRightInd/>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20%</w:t>
            </w:r>
          </w:p>
        </w:tc>
        <w:tc>
          <w:tcPr>
            <w:tcW w:w="659" w:type="pct"/>
            <w:vAlign w:val="center"/>
          </w:tcPr>
          <w:p w14:paraId="4FBBF24A">
            <w:pPr>
              <w:adjustRightInd/>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20%</w:t>
            </w:r>
          </w:p>
        </w:tc>
        <w:tc>
          <w:tcPr>
            <w:tcW w:w="495" w:type="pct"/>
            <w:vAlign w:val="center"/>
          </w:tcPr>
          <w:p w14:paraId="7D69C3C8">
            <w:pPr>
              <w:adjustRightInd/>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20%</w:t>
            </w:r>
          </w:p>
        </w:tc>
        <w:tc>
          <w:tcPr>
            <w:tcW w:w="579" w:type="pct"/>
            <w:vAlign w:val="center"/>
          </w:tcPr>
          <w:p w14:paraId="3A2DCE63">
            <w:pPr>
              <w:adjustRightInd/>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20%</w:t>
            </w:r>
          </w:p>
        </w:tc>
        <w:tc>
          <w:tcPr>
            <w:tcW w:w="1590" w:type="pct"/>
            <w:vAlign w:val="center"/>
          </w:tcPr>
          <w:p w14:paraId="70D27C2D">
            <w:pPr>
              <w:adjustRightInd/>
              <w:spacing w:line="240" w:lineRule="auto"/>
              <w:jc w:val="center"/>
              <w:rPr>
                <w:rFonts w:ascii="宋体" w:hAnsi="宋体"/>
                <w:sz w:val="18"/>
                <w:szCs w:val="18"/>
              </w:rPr>
            </w:pPr>
            <w:r>
              <w:rPr>
                <w:rFonts w:ascii="宋体" w:hAnsi="宋体"/>
                <w:sz w:val="18"/>
                <w:szCs w:val="18"/>
              </w:rPr>
              <w:t>HJ 644</w:t>
            </w:r>
          </w:p>
        </w:tc>
      </w:tr>
    </w:tbl>
    <w:p w14:paraId="0A8C5CF3">
      <w:pPr>
        <w:pStyle w:val="170"/>
        <w:numPr>
          <w:ilvl w:val="0"/>
          <w:numId w:val="0"/>
        </w:numPr>
      </w:pPr>
    </w:p>
    <w:p w14:paraId="2BC77B78">
      <w:pPr>
        <w:pStyle w:val="110"/>
        <w:spacing w:before="156" w:after="156"/>
      </w:pPr>
      <w:bookmarkStart w:id="56" w:name="_Toc16563"/>
      <w:r>
        <w:rPr>
          <w:rFonts w:hint="eastAsia"/>
        </w:rPr>
        <w:t>矿料及填料</w:t>
      </w:r>
      <w:bookmarkEnd w:id="56"/>
    </w:p>
    <w:p w14:paraId="3F39DBB4">
      <w:pPr>
        <w:pStyle w:val="61"/>
        <w:ind w:firstLine="420"/>
      </w:pPr>
      <w:r>
        <w:rPr>
          <w:rFonts w:hint="eastAsia"/>
        </w:rPr>
        <w:t>净味沥青混合料用粗集料、细集料、矿粉的质量应符合JTG F40中的技术要求。</w:t>
      </w:r>
    </w:p>
    <w:p w14:paraId="31DDEDFF">
      <w:pPr>
        <w:pStyle w:val="110"/>
        <w:spacing w:before="156" w:after="156"/>
      </w:pPr>
      <w:bookmarkStart w:id="57" w:name="_Toc7985"/>
      <w:r>
        <w:rPr>
          <w:rFonts w:hint="eastAsia"/>
        </w:rPr>
        <w:t>纤维添加剂</w:t>
      </w:r>
      <w:bookmarkEnd w:id="57"/>
    </w:p>
    <w:p w14:paraId="54F359D5">
      <w:pPr>
        <w:pStyle w:val="61"/>
        <w:ind w:firstLine="420"/>
      </w:pPr>
      <w:r>
        <w:rPr>
          <w:rFonts w:hint="eastAsia"/>
        </w:rPr>
        <w:t>净味沥青混合料用纤维添加剂的质量应符合JT/T 533中的技术要求。</w:t>
      </w:r>
    </w:p>
    <w:p w14:paraId="60AD93AA">
      <w:pPr>
        <w:pStyle w:val="109"/>
        <w:spacing w:before="312" w:after="312"/>
      </w:pPr>
      <w:bookmarkStart w:id="58" w:name="_Toc143676617"/>
      <w:bookmarkStart w:id="59" w:name="_Toc9042"/>
      <w:r>
        <w:rPr>
          <w:rFonts w:hint="eastAsia"/>
        </w:rPr>
        <w:t>净味沥青混合料</w:t>
      </w:r>
      <w:bookmarkEnd w:id="58"/>
      <w:bookmarkEnd w:id="59"/>
    </w:p>
    <w:p w14:paraId="7E673785">
      <w:pPr>
        <w:pStyle w:val="110"/>
        <w:spacing w:before="156" w:after="156"/>
      </w:pPr>
      <w:bookmarkStart w:id="60" w:name="_Toc2895"/>
      <w:bookmarkStart w:id="61" w:name="_Toc143676619"/>
      <w:r>
        <w:rPr>
          <w:rFonts w:hint="eastAsia"/>
        </w:rPr>
        <w:t>配合比设计</w:t>
      </w:r>
      <w:bookmarkEnd w:id="60"/>
      <w:bookmarkEnd w:id="61"/>
    </w:p>
    <w:p w14:paraId="6A6970DF">
      <w:pPr>
        <w:pStyle w:val="170"/>
        <w:numPr>
          <w:ilvl w:val="0"/>
          <w:numId w:val="0"/>
        </w:numPr>
        <w:ind w:firstLine="420" w:firstLineChars="200"/>
      </w:pPr>
      <w:r>
        <w:rPr>
          <w:rFonts w:hint="eastAsia"/>
        </w:rPr>
        <w:t>净味沥青混合料配合比设计宜采用马歇尔混合料设计方法，设计指标应</w:t>
      </w:r>
      <w:bookmarkStart w:id="62" w:name="OLE_LINK5"/>
      <w:r>
        <w:rPr>
          <w:rFonts w:hint="eastAsia"/>
        </w:rPr>
        <w:t>符合</w:t>
      </w:r>
      <w:r>
        <w:t>JTG F40</w:t>
      </w:r>
      <w:bookmarkEnd w:id="62"/>
      <w:r>
        <w:rPr>
          <w:rFonts w:hint="eastAsia"/>
        </w:rPr>
        <w:t>中的</w:t>
      </w:r>
      <w:r>
        <w:t>技术要求</w:t>
      </w:r>
      <w:r>
        <w:rPr>
          <w:rFonts w:hint="eastAsia"/>
        </w:rPr>
        <w:t>，典型净味沥青混合料矿料级配范围见表2。</w:t>
      </w:r>
    </w:p>
    <w:p w14:paraId="6FC2F848">
      <w:pPr>
        <w:pStyle w:val="117"/>
        <w:numPr>
          <w:ilvl w:val="0"/>
          <w:numId w:val="31"/>
        </w:numPr>
        <w:spacing w:before="156" w:after="156"/>
        <w:rPr>
          <w:rFonts w:hAnsi="黑体"/>
        </w:rPr>
      </w:pPr>
      <w:r>
        <w:rPr>
          <w:rFonts w:hAnsi="黑体"/>
        </w:rPr>
        <w:t>典型净味沥青混合料矿料级配范围</w:t>
      </w:r>
    </w:p>
    <w:tbl>
      <w:tblPr>
        <w:tblStyle w:val="29"/>
        <w:tblW w:w="5000" w:type="pct"/>
        <w:jc w:val="center"/>
        <w:tblBorders>
          <w:top w:val="single" w:color="auto" w:sz="8" w:space="0"/>
          <w:left w:val="single" w:color="auto" w:sz="8" w:space="0"/>
          <w:bottom w:val="single" w:color="auto" w:sz="8" w:space="0"/>
          <w:right w:val="single" w:color="auto" w:sz="8" w:space="0"/>
          <w:insideH w:val="outset" w:color="000000" w:sz="6" w:space="0"/>
          <w:insideV w:val="outset" w:color="000000" w:sz="6" w:space="0"/>
        </w:tblBorders>
        <w:tblLayout w:type="autofit"/>
        <w:tblCellMar>
          <w:top w:w="15" w:type="dxa"/>
          <w:left w:w="15" w:type="dxa"/>
          <w:bottom w:w="15" w:type="dxa"/>
          <w:right w:w="15" w:type="dxa"/>
        </w:tblCellMar>
      </w:tblPr>
      <w:tblGrid>
        <w:gridCol w:w="812"/>
        <w:gridCol w:w="456"/>
        <w:gridCol w:w="728"/>
        <w:gridCol w:w="728"/>
        <w:gridCol w:w="614"/>
        <w:gridCol w:w="709"/>
        <w:gridCol w:w="614"/>
        <w:gridCol w:w="614"/>
        <w:gridCol w:w="614"/>
        <w:gridCol w:w="614"/>
        <w:gridCol w:w="614"/>
        <w:gridCol w:w="599"/>
        <w:gridCol w:w="599"/>
        <w:gridCol w:w="497"/>
        <w:gridCol w:w="572"/>
      </w:tblGrid>
      <w:tr w14:paraId="4D88B0F9">
        <w:tblPrEx>
          <w:tblBorders>
            <w:top w:val="single" w:color="auto" w:sz="8" w:space="0"/>
            <w:left w:val="single" w:color="auto" w:sz="8" w:space="0"/>
            <w:bottom w:val="single" w:color="auto" w:sz="8" w:space="0"/>
            <w:right w:val="single" w:color="auto" w:sz="8" w:space="0"/>
            <w:insideH w:val="outset" w:color="000000" w:sz="6" w:space="0"/>
            <w:insideV w:val="outset" w:color="000000" w:sz="6" w:space="0"/>
          </w:tblBorders>
          <w:tblCellMar>
            <w:top w:w="15" w:type="dxa"/>
            <w:left w:w="15" w:type="dxa"/>
            <w:bottom w:w="15" w:type="dxa"/>
            <w:right w:w="15" w:type="dxa"/>
          </w:tblCellMar>
        </w:tblPrEx>
        <w:trPr>
          <w:trHeight w:val="340" w:hRule="atLeast"/>
          <w:jc w:val="center"/>
        </w:trPr>
        <w:tc>
          <w:tcPr>
            <w:tcW w:w="433" w:type="pct"/>
            <w:vMerge w:val="restart"/>
            <w:vAlign w:val="center"/>
          </w:tcPr>
          <w:p w14:paraId="577D76D1">
            <w:pPr>
              <w:adjustRightInd/>
              <w:spacing w:line="240" w:lineRule="auto"/>
              <w:jc w:val="center"/>
              <w:rPr>
                <w:rFonts w:ascii="Times New Roman" w:hAnsi="Times New Roman"/>
                <w:sz w:val="18"/>
                <w:szCs w:val="18"/>
              </w:rPr>
            </w:pPr>
            <w:r>
              <w:rPr>
                <w:rFonts w:ascii="Times New Roman" w:hAnsi="Times New Roman"/>
                <w:sz w:val="18"/>
                <w:szCs w:val="18"/>
              </w:rPr>
              <w:t>级配类型</w:t>
            </w:r>
          </w:p>
        </w:tc>
        <w:tc>
          <w:tcPr>
            <w:tcW w:w="4567" w:type="pct"/>
            <w:gridSpan w:val="14"/>
          </w:tcPr>
          <w:p w14:paraId="145456AE">
            <w:pPr>
              <w:adjustRightInd/>
              <w:spacing w:line="240" w:lineRule="auto"/>
              <w:jc w:val="center"/>
              <w:rPr>
                <w:rFonts w:ascii="Times New Roman" w:hAnsi="Times New Roman"/>
                <w:sz w:val="18"/>
                <w:szCs w:val="18"/>
              </w:rPr>
            </w:pPr>
            <w:r>
              <w:rPr>
                <w:rFonts w:ascii="Times New Roman" w:hAnsi="Times New Roman"/>
                <w:sz w:val="18"/>
                <w:szCs w:val="18"/>
              </w:rPr>
              <w:t>通过下列筛孔（mm）的质量百分率（%）</w:t>
            </w:r>
          </w:p>
        </w:tc>
      </w:tr>
      <w:tr w14:paraId="3B2BBB79">
        <w:tblPrEx>
          <w:tblBorders>
            <w:top w:val="single" w:color="auto" w:sz="8" w:space="0"/>
            <w:left w:val="single" w:color="auto" w:sz="8" w:space="0"/>
            <w:bottom w:val="single" w:color="auto" w:sz="8" w:space="0"/>
            <w:right w:val="single" w:color="auto" w:sz="8" w:space="0"/>
            <w:insideH w:val="outset" w:color="000000" w:sz="6" w:space="0"/>
            <w:insideV w:val="outset" w:color="000000" w:sz="6" w:space="0"/>
          </w:tblBorders>
          <w:tblCellMar>
            <w:top w:w="15" w:type="dxa"/>
            <w:left w:w="15" w:type="dxa"/>
            <w:bottom w:w="15" w:type="dxa"/>
            <w:right w:w="15" w:type="dxa"/>
          </w:tblCellMar>
        </w:tblPrEx>
        <w:trPr>
          <w:trHeight w:val="340" w:hRule="atLeast"/>
          <w:jc w:val="center"/>
        </w:trPr>
        <w:tc>
          <w:tcPr>
            <w:tcW w:w="433" w:type="pct"/>
            <w:vMerge w:val="continue"/>
            <w:vAlign w:val="center"/>
          </w:tcPr>
          <w:p w14:paraId="5BCE858F">
            <w:pPr>
              <w:adjustRightInd/>
              <w:spacing w:line="240" w:lineRule="auto"/>
              <w:jc w:val="center"/>
              <w:rPr>
                <w:rFonts w:ascii="Times New Roman" w:hAnsi="Times New Roman"/>
                <w:sz w:val="18"/>
                <w:szCs w:val="18"/>
              </w:rPr>
            </w:pPr>
          </w:p>
        </w:tc>
        <w:tc>
          <w:tcPr>
            <w:tcW w:w="243" w:type="pct"/>
            <w:vAlign w:val="center"/>
          </w:tcPr>
          <w:p w14:paraId="0BBDB495">
            <w:pPr>
              <w:adjustRightInd/>
              <w:spacing w:line="240" w:lineRule="auto"/>
              <w:jc w:val="center"/>
              <w:rPr>
                <w:rFonts w:ascii="Times New Roman" w:hAnsi="Times New Roman"/>
                <w:sz w:val="18"/>
                <w:szCs w:val="18"/>
              </w:rPr>
            </w:pPr>
            <w:r>
              <w:rPr>
                <w:rFonts w:ascii="Times New Roman" w:hAnsi="Times New Roman"/>
                <w:sz w:val="18"/>
                <w:szCs w:val="18"/>
              </w:rPr>
              <w:t>31.5</w:t>
            </w:r>
          </w:p>
        </w:tc>
        <w:tc>
          <w:tcPr>
            <w:tcW w:w="388" w:type="pct"/>
            <w:vAlign w:val="center"/>
          </w:tcPr>
          <w:p w14:paraId="358D886C">
            <w:pPr>
              <w:adjustRightInd/>
              <w:spacing w:line="240" w:lineRule="auto"/>
              <w:jc w:val="center"/>
              <w:rPr>
                <w:rFonts w:ascii="Times New Roman" w:hAnsi="Times New Roman"/>
                <w:sz w:val="18"/>
                <w:szCs w:val="18"/>
              </w:rPr>
            </w:pPr>
            <w:r>
              <w:rPr>
                <w:rFonts w:ascii="Times New Roman" w:hAnsi="Times New Roman"/>
                <w:sz w:val="18"/>
                <w:szCs w:val="18"/>
              </w:rPr>
              <w:t>26.5</w:t>
            </w:r>
          </w:p>
        </w:tc>
        <w:tc>
          <w:tcPr>
            <w:tcW w:w="388" w:type="pct"/>
            <w:vAlign w:val="center"/>
          </w:tcPr>
          <w:p w14:paraId="064FA1A8">
            <w:pPr>
              <w:adjustRightInd/>
              <w:spacing w:line="240" w:lineRule="auto"/>
              <w:jc w:val="center"/>
              <w:rPr>
                <w:rFonts w:ascii="Times New Roman" w:hAnsi="Times New Roman"/>
                <w:sz w:val="18"/>
                <w:szCs w:val="18"/>
              </w:rPr>
            </w:pPr>
            <w:r>
              <w:rPr>
                <w:rFonts w:ascii="Times New Roman" w:hAnsi="Times New Roman"/>
                <w:sz w:val="18"/>
                <w:szCs w:val="18"/>
              </w:rPr>
              <w:t>19</w:t>
            </w:r>
          </w:p>
        </w:tc>
        <w:tc>
          <w:tcPr>
            <w:tcW w:w="327" w:type="pct"/>
            <w:vAlign w:val="center"/>
          </w:tcPr>
          <w:p w14:paraId="39A1A663">
            <w:pPr>
              <w:adjustRightInd/>
              <w:spacing w:line="240" w:lineRule="auto"/>
              <w:jc w:val="center"/>
              <w:rPr>
                <w:rFonts w:ascii="Times New Roman" w:hAnsi="Times New Roman"/>
                <w:sz w:val="18"/>
                <w:szCs w:val="18"/>
              </w:rPr>
            </w:pPr>
            <w:r>
              <w:rPr>
                <w:rFonts w:ascii="Times New Roman" w:hAnsi="Times New Roman"/>
                <w:sz w:val="18"/>
                <w:szCs w:val="18"/>
              </w:rPr>
              <w:t>16</w:t>
            </w:r>
          </w:p>
        </w:tc>
        <w:tc>
          <w:tcPr>
            <w:tcW w:w="378" w:type="pct"/>
            <w:vAlign w:val="center"/>
          </w:tcPr>
          <w:p w14:paraId="438F091D">
            <w:pPr>
              <w:adjustRightInd/>
              <w:spacing w:line="240" w:lineRule="auto"/>
              <w:jc w:val="center"/>
              <w:rPr>
                <w:rFonts w:ascii="Times New Roman" w:hAnsi="Times New Roman"/>
                <w:sz w:val="18"/>
                <w:szCs w:val="18"/>
              </w:rPr>
            </w:pPr>
            <w:r>
              <w:rPr>
                <w:rFonts w:ascii="Times New Roman" w:hAnsi="Times New Roman"/>
                <w:sz w:val="18"/>
                <w:szCs w:val="18"/>
              </w:rPr>
              <w:t>13.2</w:t>
            </w:r>
          </w:p>
        </w:tc>
        <w:tc>
          <w:tcPr>
            <w:tcW w:w="327" w:type="pct"/>
            <w:vAlign w:val="center"/>
          </w:tcPr>
          <w:p w14:paraId="384CE4B2">
            <w:pPr>
              <w:adjustRightInd/>
              <w:spacing w:line="240" w:lineRule="auto"/>
              <w:jc w:val="center"/>
              <w:rPr>
                <w:rFonts w:ascii="Times New Roman" w:hAnsi="Times New Roman"/>
                <w:sz w:val="18"/>
                <w:szCs w:val="18"/>
              </w:rPr>
            </w:pPr>
            <w:r>
              <w:rPr>
                <w:rFonts w:ascii="Times New Roman" w:hAnsi="Times New Roman"/>
                <w:sz w:val="18"/>
                <w:szCs w:val="18"/>
              </w:rPr>
              <w:t>9.5</w:t>
            </w:r>
          </w:p>
        </w:tc>
        <w:tc>
          <w:tcPr>
            <w:tcW w:w="327" w:type="pct"/>
          </w:tcPr>
          <w:p w14:paraId="7C65D7E3">
            <w:pPr>
              <w:adjustRightInd/>
              <w:spacing w:line="240" w:lineRule="auto"/>
              <w:jc w:val="center"/>
              <w:rPr>
                <w:rFonts w:ascii="Times New Roman" w:hAnsi="Times New Roman"/>
                <w:sz w:val="18"/>
                <w:szCs w:val="18"/>
              </w:rPr>
            </w:pPr>
            <w:r>
              <w:rPr>
                <w:rFonts w:hint="eastAsia" w:ascii="Times New Roman" w:hAnsi="Times New Roman"/>
                <w:sz w:val="18"/>
                <w:szCs w:val="18"/>
              </w:rPr>
              <w:t>8</w:t>
            </w:r>
          </w:p>
        </w:tc>
        <w:tc>
          <w:tcPr>
            <w:tcW w:w="327" w:type="pct"/>
            <w:vAlign w:val="center"/>
          </w:tcPr>
          <w:p w14:paraId="24D0DA00">
            <w:pPr>
              <w:adjustRightInd/>
              <w:spacing w:line="240" w:lineRule="auto"/>
              <w:jc w:val="center"/>
              <w:rPr>
                <w:rFonts w:ascii="Times New Roman" w:hAnsi="Times New Roman"/>
                <w:sz w:val="18"/>
                <w:szCs w:val="18"/>
              </w:rPr>
            </w:pPr>
            <w:r>
              <w:rPr>
                <w:rFonts w:ascii="Times New Roman" w:hAnsi="Times New Roman"/>
                <w:sz w:val="18"/>
                <w:szCs w:val="18"/>
              </w:rPr>
              <w:t>4.75</w:t>
            </w:r>
          </w:p>
        </w:tc>
        <w:tc>
          <w:tcPr>
            <w:tcW w:w="327" w:type="pct"/>
            <w:vAlign w:val="center"/>
          </w:tcPr>
          <w:p w14:paraId="19AE1D86">
            <w:pPr>
              <w:adjustRightInd/>
              <w:spacing w:line="240" w:lineRule="auto"/>
              <w:jc w:val="center"/>
              <w:rPr>
                <w:rFonts w:ascii="Times New Roman" w:hAnsi="Times New Roman"/>
                <w:sz w:val="18"/>
                <w:szCs w:val="18"/>
              </w:rPr>
            </w:pPr>
            <w:r>
              <w:rPr>
                <w:rFonts w:ascii="Times New Roman" w:hAnsi="Times New Roman"/>
                <w:sz w:val="18"/>
                <w:szCs w:val="18"/>
              </w:rPr>
              <w:t>2.36</w:t>
            </w:r>
          </w:p>
        </w:tc>
        <w:tc>
          <w:tcPr>
            <w:tcW w:w="327" w:type="pct"/>
            <w:vAlign w:val="center"/>
          </w:tcPr>
          <w:p w14:paraId="15015E9B">
            <w:pPr>
              <w:adjustRightInd/>
              <w:spacing w:line="240" w:lineRule="auto"/>
              <w:jc w:val="center"/>
              <w:rPr>
                <w:rFonts w:ascii="Times New Roman" w:hAnsi="Times New Roman"/>
                <w:sz w:val="18"/>
                <w:szCs w:val="18"/>
              </w:rPr>
            </w:pPr>
            <w:r>
              <w:rPr>
                <w:rFonts w:ascii="Times New Roman" w:hAnsi="Times New Roman"/>
                <w:sz w:val="18"/>
                <w:szCs w:val="18"/>
              </w:rPr>
              <w:t>1.18</w:t>
            </w:r>
          </w:p>
        </w:tc>
        <w:tc>
          <w:tcPr>
            <w:tcW w:w="319" w:type="pct"/>
            <w:vAlign w:val="center"/>
          </w:tcPr>
          <w:p w14:paraId="2A94712B">
            <w:pPr>
              <w:adjustRightInd/>
              <w:spacing w:line="240" w:lineRule="auto"/>
              <w:jc w:val="center"/>
              <w:rPr>
                <w:rFonts w:ascii="Times New Roman" w:hAnsi="Times New Roman"/>
                <w:sz w:val="18"/>
                <w:szCs w:val="18"/>
              </w:rPr>
            </w:pPr>
            <w:r>
              <w:rPr>
                <w:rFonts w:ascii="Times New Roman" w:hAnsi="Times New Roman"/>
                <w:sz w:val="18"/>
                <w:szCs w:val="18"/>
              </w:rPr>
              <w:t>0.6</w:t>
            </w:r>
          </w:p>
        </w:tc>
        <w:tc>
          <w:tcPr>
            <w:tcW w:w="319" w:type="pct"/>
            <w:vAlign w:val="center"/>
          </w:tcPr>
          <w:p w14:paraId="228326AF">
            <w:pPr>
              <w:adjustRightInd/>
              <w:spacing w:line="240" w:lineRule="auto"/>
              <w:jc w:val="center"/>
              <w:rPr>
                <w:rFonts w:ascii="Times New Roman" w:hAnsi="Times New Roman"/>
                <w:sz w:val="18"/>
                <w:szCs w:val="18"/>
              </w:rPr>
            </w:pPr>
            <w:r>
              <w:rPr>
                <w:rFonts w:ascii="Times New Roman" w:hAnsi="Times New Roman"/>
                <w:sz w:val="18"/>
                <w:szCs w:val="18"/>
              </w:rPr>
              <w:t>0.3</w:t>
            </w:r>
          </w:p>
        </w:tc>
        <w:tc>
          <w:tcPr>
            <w:tcW w:w="265" w:type="pct"/>
            <w:vAlign w:val="center"/>
          </w:tcPr>
          <w:p w14:paraId="30DAF75B">
            <w:pPr>
              <w:adjustRightInd/>
              <w:spacing w:line="240" w:lineRule="auto"/>
              <w:jc w:val="center"/>
              <w:rPr>
                <w:rFonts w:ascii="Times New Roman" w:hAnsi="Times New Roman"/>
                <w:sz w:val="18"/>
                <w:szCs w:val="18"/>
              </w:rPr>
            </w:pPr>
            <w:r>
              <w:rPr>
                <w:rFonts w:ascii="Times New Roman" w:hAnsi="Times New Roman"/>
                <w:sz w:val="18"/>
                <w:szCs w:val="18"/>
              </w:rPr>
              <w:t>0.15</w:t>
            </w:r>
          </w:p>
        </w:tc>
        <w:tc>
          <w:tcPr>
            <w:tcW w:w="305" w:type="pct"/>
            <w:vAlign w:val="center"/>
          </w:tcPr>
          <w:p w14:paraId="4204A721">
            <w:pPr>
              <w:adjustRightInd/>
              <w:spacing w:line="240" w:lineRule="auto"/>
              <w:jc w:val="center"/>
              <w:rPr>
                <w:rFonts w:ascii="Times New Roman" w:hAnsi="Times New Roman"/>
                <w:sz w:val="18"/>
                <w:szCs w:val="18"/>
              </w:rPr>
            </w:pPr>
            <w:r>
              <w:rPr>
                <w:rFonts w:ascii="Times New Roman" w:hAnsi="Times New Roman"/>
                <w:sz w:val="18"/>
                <w:szCs w:val="18"/>
              </w:rPr>
              <w:t>0.075</w:t>
            </w:r>
          </w:p>
        </w:tc>
      </w:tr>
      <w:tr w14:paraId="160D41C5">
        <w:tblPrEx>
          <w:tblBorders>
            <w:top w:val="single" w:color="auto" w:sz="8" w:space="0"/>
            <w:left w:val="single" w:color="auto" w:sz="8" w:space="0"/>
            <w:bottom w:val="single" w:color="auto" w:sz="8" w:space="0"/>
            <w:right w:val="single" w:color="auto" w:sz="8" w:space="0"/>
            <w:insideH w:val="outset" w:color="000000" w:sz="6" w:space="0"/>
            <w:insideV w:val="outset" w:color="000000" w:sz="6" w:space="0"/>
          </w:tblBorders>
          <w:tblCellMar>
            <w:top w:w="15" w:type="dxa"/>
            <w:left w:w="15" w:type="dxa"/>
            <w:bottom w:w="15" w:type="dxa"/>
            <w:right w:w="15" w:type="dxa"/>
          </w:tblCellMar>
        </w:tblPrEx>
        <w:trPr>
          <w:trHeight w:val="340" w:hRule="atLeast"/>
          <w:jc w:val="center"/>
        </w:trPr>
        <w:tc>
          <w:tcPr>
            <w:tcW w:w="433" w:type="pct"/>
            <w:vAlign w:val="center"/>
          </w:tcPr>
          <w:p w14:paraId="46A3A218">
            <w:pPr>
              <w:adjustRightInd/>
              <w:spacing w:line="240" w:lineRule="auto"/>
              <w:jc w:val="center"/>
              <w:rPr>
                <w:rFonts w:ascii="Times New Roman" w:hAnsi="Times New Roman"/>
                <w:sz w:val="18"/>
                <w:szCs w:val="18"/>
              </w:rPr>
            </w:pPr>
            <w:r>
              <w:rPr>
                <w:rFonts w:ascii="Times New Roman" w:hAnsi="Times New Roman"/>
                <w:sz w:val="18"/>
                <w:szCs w:val="18"/>
              </w:rPr>
              <w:t>SMA-8</w:t>
            </w:r>
          </w:p>
        </w:tc>
        <w:tc>
          <w:tcPr>
            <w:tcW w:w="243" w:type="pct"/>
            <w:vAlign w:val="center"/>
          </w:tcPr>
          <w:p w14:paraId="060B6A0B">
            <w:pPr>
              <w:adjustRightInd/>
              <w:spacing w:line="240" w:lineRule="auto"/>
              <w:jc w:val="center"/>
              <w:rPr>
                <w:rFonts w:ascii="Times New Roman" w:hAnsi="Times New Roman"/>
                <w:sz w:val="18"/>
                <w:szCs w:val="18"/>
              </w:rPr>
            </w:pPr>
            <w:r>
              <w:rPr>
                <w:rFonts w:hint="eastAsia" w:ascii="Times New Roman" w:hAnsi="Times New Roman"/>
                <w:sz w:val="18"/>
                <w:szCs w:val="18"/>
              </w:rPr>
              <w:t>—</w:t>
            </w:r>
          </w:p>
        </w:tc>
        <w:tc>
          <w:tcPr>
            <w:tcW w:w="388" w:type="pct"/>
            <w:vAlign w:val="center"/>
          </w:tcPr>
          <w:p w14:paraId="5D115FC8">
            <w:pPr>
              <w:adjustRightInd/>
              <w:spacing w:line="240" w:lineRule="auto"/>
              <w:jc w:val="center"/>
              <w:rPr>
                <w:rFonts w:ascii="Times New Roman" w:hAnsi="Times New Roman"/>
                <w:sz w:val="18"/>
                <w:szCs w:val="18"/>
              </w:rPr>
            </w:pPr>
            <w:r>
              <w:rPr>
                <w:rFonts w:hint="eastAsia" w:ascii="Times New Roman" w:hAnsi="Times New Roman"/>
                <w:sz w:val="18"/>
                <w:szCs w:val="18"/>
              </w:rPr>
              <w:t>—</w:t>
            </w:r>
          </w:p>
        </w:tc>
        <w:tc>
          <w:tcPr>
            <w:tcW w:w="388" w:type="pct"/>
            <w:vAlign w:val="center"/>
          </w:tcPr>
          <w:p w14:paraId="6BAF873D">
            <w:pPr>
              <w:adjustRightInd/>
              <w:spacing w:line="240" w:lineRule="auto"/>
              <w:jc w:val="center"/>
              <w:rPr>
                <w:rFonts w:ascii="Times New Roman" w:hAnsi="Times New Roman"/>
                <w:sz w:val="18"/>
                <w:szCs w:val="18"/>
              </w:rPr>
            </w:pPr>
            <w:r>
              <w:rPr>
                <w:rFonts w:hint="eastAsia" w:ascii="Times New Roman" w:hAnsi="Times New Roman"/>
                <w:sz w:val="18"/>
                <w:szCs w:val="18"/>
              </w:rPr>
              <w:t>—</w:t>
            </w:r>
          </w:p>
        </w:tc>
        <w:tc>
          <w:tcPr>
            <w:tcW w:w="327" w:type="pct"/>
            <w:vAlign w:val="center"/>
          </w:tcPr>
          <w:p w14:paraId="5028E0FB">
            <w:pPr>
              <w:adjustRightInd/>
              <w:spacing w:line="240" w:lineRule="auto"/>
              <w:jc w:val="center"/>
              <w:rPr>
                <w:rFonts w:ascii="Times New Roman" w:hAnsi="Times New Roman"/>
                <w:sz w:val="18"/>
                <w:szCs w:val="18"/>
              </w:rPr>
            </w:pPr>
            <w:r>
              <w:rPr>
                <w:rFonts w:hint="eastAsia" w:ascii="Times New Roman" w:hAnsi="Times New Roman"/>
                <w:sz w:val="18"/>
                <w:szCs w:val="18"/>
              </w:rPr>
              <w:t>—</w:t>
            </w:r>
          </w:p>
        </w:tc>
        <w:tc>
          <w:tcPr>
            <w:tcW w:w="378" w:type="pct"/>
            <w:vAlign w:val="center"/>
          </w:tcPr>
          <w:p w14:paraId="56E91A1B">
            <w:pPr>
              <w:adjustRightInd/>
              <w:spacing w:line="240" w:lineRule="auto"/>
              <w:jc w:val="center"/>
              <w:rPr>
                <w:rFonts w:ascii="Times New Roman" w:hAnsi="Times New Roman"/>
                <w:sz w:val="18"/>
                <w:szCs w:val="18"/>
              </w:rPr>
            </w:pPr>
            <w:r>
              <w:rPr>
                <w:rFonts w:hint="eastAsia" w:ascii="Times New Roman" w:hAnsi="Times New Roman"/>
                <w:sz w:val="18"/>
                <w:szCs w:val="18"/>
              </w:rPr>
              <w:t>—</w:t>
            </w:r>
          </w:p>
        </w:tc>
        <w:tc>
          <w:tcPr>
            <w:tcW w:w="327" w:type="pct"/>
            <w:vAlign w:val="center"/>
          </w:tcPr>
          <w:p w14:paraId="1F14486B">
            <w:pPr>
              <w:adjustRightInd/>
              <w:spacing w:line="240" w:lineRule="auto"/>
              <w:jc w:val="center"/>
              <w:rPr>
                <w:rFonts w:ascii="Times New Roman" w:hAnsi="Times New Roman"/>
                <w:sz w:val="18"/>
                <w:szCs w:val="18"/>
              </w:rPr>
            </w:pPr>
            <w:r>
              <w:rPr>
                <w:rFonts w:ascii="Times New Roman" w:hAnsi="Times New Roman"/>
                <w:sz w:val="18"/>
                <w:szCs w:val="18"/>
              </w:rPr>
              <w:t>100</w:t>
            </w:r>
          </w:p>
        </w:tc>
        <w:tc>
          <w:tcPr>
            <w:tcW w:w="327" w:type="pct"/>
            <w:vAlign w:val="center"/>
          </w:tcPr>
          <w:p w14:paraId="3E1937AF">
            <w:pPr>
              <w:adjustRightInd/>
              <w:spacing w:line="240" w:lineRule="auto"/>
              <w:jc w:val="center"/>
              <w:rPr>
                <w:rFonts w:ascii="Times New Roman" w:hAnsi="Times New Roman"/>
                <w:sz w:val="18"/>
                <w:szCs w:val="18"/>
              </w:rPr>
            </w:pPr>
            <w:r>
              <w:rPr>
                <w:rFonts w:ascii="Times New Roman" w:hAnsi="Times New Roman"/>
                <w:sz w:val="18"/>
                <w:szCs w:val="18"/>
              </w:rPr>
              <w:t>90~100</w:t>
            </w:r>
          </w:p>
        </w:tc>
        <w:tc>
          <w:tcPr>
            <w:tcW w:w="327" w:type="pct"/>
            <w:vAlign w:val="center"/>
          </w:tcPr>
          <w:p w14:paraId="60847DDF">
            <w:pPr>
              <w:adjustRightInd/>
              <w:spacing w:line="240" w:lineRule="auto"/>
              <w:jc w:val="center"/>
              <w:rPr>
                <w:rFonts w:ascii="Times New Roman" w:hAnsi="Times New Roman"/>
                <w:sz w:val="18"/>
                <w:szCs w:val="18"/>
              </w:rPr>
            </w:pPr>
            <w:r>
              <w:rPr>
                <w:rFonts w:ascii="Times New Roman" w:hAnsi="Times New Roman"/>
                <w:sz w:val="18"/>
                <w:szCs w:val="18"/>
              </w:rPr>
              <w:t>28~60</w:t>
            </w:r>
          </w:p>
        </w:tc>
        <w:tc>
          <w:tcPr>
            <w:tcW w:w="327" w:type="pct"/>
            <w:vAlign w:val="center"/>
          </w:tcPr>
          <w:p w14:paraId="490A08B4">
            <w:pPr>
              <w:adjustRightInd/>
              <w:spacing w:line="240" w:lineRule="auto"/>
              <w:jc w:val="center"/>
              <w:rPr>
                <w:rFonts w:ascii="Times New Roman" w:hAnsi="Times New Roman"/>
                <w:sz w:val="18"/>
                <w:szCs w:val="18"/>
              </w:rPr>
            </w:pPr>
            <w:r>
              <w:rPr>
                <w:rFonts w:ascii="Times New Roman" w:hAnsi="Times New Roman"/>
                <w:sz w:val="18"/>
                <w:szCs w:val="18"/>
              </w:rPr>
              <w:t>20~32</w:t>
            </w:r>
          </w:p>
        </w:tc>
        <w:tc>
          <w:tcPr>
            <w:tcW w:w="327" w:type="pct"/>
            <w:vAlign w:val="center"/>
          </w:tcPr>
          <w:p w14:paraId="1891D772">
            <w:pPr>
              <w:adjustRightInd/>
              <w:spacing w:line="240" w:lineRule="auto"/>
              <w:jc w:val="center"/>
              <w:rPr>
                <w:rFonts w:ascii="Times New Roman" w:hAnsi="Times New Roman"/>
                <w:sz w:val="18"/>
                <w:szCs w:val="18"/>
              </w:rPr>
            </w:pPr>
            <w:r>
              <w:rPr>
                <w:rFonts w:ascii="Times New Roman" w:hAnsi="Times New Roman"/>
                <w:sz w:val="18"/>
                <w:szCs w:val="18"/>
              </w:rPr>
              <w:t>14~26</w:t>
            </w:r>
          </w:p>
        </w:tc>
        <w:tc>
          <w:tcPr>
            <w:tcW w:w="319" w:type="pct"/>
            <w:vAlign w:val="center"/>
          </w:tcPr>
          <w:p w14:paraId="5F23B3FC">
            <w:pPr>
              <w:adjustRightInd/>
              <w:spacing w:line="240" w:lineRule="auto"/>
              <w:jc w:val="center"/>
              <w:rPr>
                <w:rFonts w:ascii="Times New Roman" w:hAnsi="Times New Roman"/>
                <w:sz w:val="18"/>
                <w:szCs w:val="18"/>
              </w:rPr>
            </w:pPr>
            <w:r>
              <w:rPr>
                <w:rFonts w:ascii="Times New Roman" w:hAnsi="Times New Roman"/>
                <w:sz w:val="18"/>
                <w:szCs w:val="18"/>
              </w:rPr>
              <w:t>12~22</w:t>
            </w:r>
          </w:p>
        </w:tc>
        <w:tc>
          <w:tcPr>
            <w:tcW w:w="319" w:type="pct"/>
            <w:vAlign w:val="center"/>
          </w:tcPr>
          <w:p w14:paraId="59878C69">
            <w:pPr>
              <w:adjustRightInd/>
              <w:spacing w:line="240" w:lineRule="auto"/>
              <w:jc w:val="center"/>
              <w:rPr>
                <w:rFonts w:ascii="Times New Roman" w:hAnsi="Times New Roman"/>
                <w:sz w:val="18"/>
                <w:szCs w:val="18"/>
              </w:rPr>
            </w:pPr>
            <w:r>
              <w:rPr>
                <w:rFonts w:ascii="Times New Roman" w:hAnsi="Times New Roman"/>
                <w:sz w:val="18"/>
                <w:szCs w:val="18"/>
              </w:rPr>
              <w:t>10~18</w:t>
            </w:r>
          </w:p>
        </w:tc>
        <w:tc>
          <w:tcPr>
            <w:tcW w:w="265" w:type="pct"/>
            <w:vAlign w:val="center"/>
          </w:tcPr>
          <w:p w14:paraId="6EC47481">
            <w:pPr>
              <w:adjustRightInd/>
              <w:spacing w:line="240" w:lineRule="auto"/>
              <w:jc w:val="center"/>
              <w:rPr>
                <w:rFonts w:ascii="Times New Roman" w:hAnsi="Times New Roman"/>
                <w:sz w:val="18"/>
                <w:szCs w:val="18"/>
              </w:rPr>
            </w:pPr>
            <w:r>
              <w:rPr>
                <w:rFonts w:ascii="Times New Roman" w:hAnsi="Times New Roman"/>
                <w:sz w:val="18"/>
                <w:szCs w:val="18"/>
              </w:rPr>
              <w:t>9~16</w:t>
            </w:r>
          </w:p>
        </w:tc>
        <w:tc>
          <w:tcPr>
            <w:tcW w:w="305" w:type="pct"/>
            <w:vAlign w:val="center"/>
          </w:tcPr>
          <w:p w14:paraId="5DE362E2">
            <w:pPr>
              <w:adjustRightInd/>
              <w:spacing w:line="240" w:lineRule="auto"/>
              <w:jc w:val="center"/>
              <w:rPr>
                <w:rFonts w:ascii="Times New Roman" w:hAnsi="Times New Roman"/>
                <w:sz w:val="18"/>
                <w:szCs w:val="18"/>
              </w:rPr>
            </w:pPr>
            <w:r>
              <w:rPr>
                <w:rFonts w:hint="eastAsia" w:ascii="Times New Roman" w:hAnsi="Times New Roman"/>
                <w:sz w:val="18"/>
                <w:szCs w:val="18"/>
              </w:rPr>
              <w:t>8</w:t>
            </w:r>
            <w:r>
              <w:rPr>
                <w:rFonts w:ascii="Times New Roman" w:hAnsi="Times New Roman"/>
                <w:sz w:val="18"/>
                <w:szCs w:val="18"/>
              </w:rPr>
              <w:t>~13</w:t>
            </w:r>
          </w:p>
        </w:tc>
      </w:tr>
      <w:tr w14:paraId="441F8CCF">
        <w:tblPrEx>
          <w:tblBorders>
            <w:top w:val="single" w:color="auto" w:sz="8" w:space="0"/>
            <w:left w:val="single" w:color="auto" w:sz="8" w:space="0"/>
            <w:bottom w:val="single" w:color="auto" w:sz="8" w:space="0"/>
            <w:right w:val="single" w:color="auto" w:sz="8" w:space="0"/>
            <w:insideH w:val="outset" w:color="000000" w:sz="6" w:space="0"/>
            <w:insideV w:val="outset" w:color="000000" w:sz="6" w:space="0"/>
          </w:tblBorders>
          <w:tblCellMar>
            <w:top w:w="15" w:type="dxa"/>
            <w:left w:w="15" w:type="dxa"/>
            <w:bottom w:w="15" w:type="dxa"/>
            <w:right w:w="15" w:type="dxa"/>
          </w:tblCellMar>
        </w:tblPrEx>
        <w:trPr>
          <w:trHeight w:val="340" w:hRule="atLeast"/>
          <w:jc w:val="center"/>
        </w:trPr>
        <w:tc>
          <w:tcPr>
            <w:tcW w:w="433" w:type="pct"/>
            <w:vAlign w:val="center"/>
          </w:tcPr>
          <w:p w14:paraId="6BC31E44">
            <w:pPr>
              <w:adjustRightInd/>
              <w:spacing w:line="240" w:lineRule="auto"/>
              <w:jc w:val="center"/>
              <w:rPr>
                <w:rFonts w:ascii="Times New Roman" w:hAnsi="Times New Roman"/>
                <w:sz w:val="18"/>
                <w:szCs w:val="18"/>
              </w:rPr>
            </w:pPr>
            <w:r>
              <w:rPr>
                <w:rFonts w:ascii="Times New Roman" w:hAnsi="Times New Roman"/>
                <w:sz w:val="18"/>
                <w:szCs w:val="18"/>
              </w:rPr>
              <w:t>SMA-10</w:t>
            </w:r>
          </w:p>
        </w:tc>
        <w:tc>
          <w:tcPr>
            <w:tcW w:w="243" w:type="pct"/>
            <w:vAlign w:val="center"/>
          </w:tcPr>
          <w:p w14:paraId="531E69A9">
            <w:pPr>
              <w:adjustRightInd/>
              <w:spacing w:line="240" w:lineRule="auto"/>
              <w:jc w:val="center"/>
              <w:rPr>
                <w:rFonts w:ascii="Times New Roman" w:hAnsi="Times New Roman"/>
                <w:sz w:val="18"/>
                <w:szCs w:val="18"/>
              </w:rPr>
            </w:pPr>
            <w:r>
              <w:rPr>
                <w:rFonts w:hint="eastAsia" w:ascii="Times New Roman" w:hAnsi="Times New Roman"/>
                <w:sz w:val="18"/>
                <w:szCs w:val="18"/>
              </w:rPr>
              <w:t>—</w:t>
            </w:r>
          </w:p>
        </w:tc>
        <w:tc>
          <w:tcPr>
            <w:tcW w:w="388" w:type="pct"/>
            <w:vAlign w:val="center"/>
          </w:tcPr>
          <w:p w14:paraId="0B53A8E8">
            <w:pPr>
              <w:adjustRightInd/>
              <w:spacing w:line="240" w:lineRule="auto"/>
              <w:jc w:val="center"/>
              <w:rPr>
                <w:rFonts w:ascii="Times New Roman" w:hAnsi="Times New Roman"/>
                <w:sz w:val="18"/>
                <w:szCs w:val="18"/>
              </w:rPr>
            </w:pPr>
            <w:r>
              <w:rPr>
                <w:rFonts w:hint="eastAsia" w:ascii="Times New Roman" w:hAnsi="Times New Roman"/>
                <w:sz w:val="18"/>
                <w:szCs w:val="18"/>
              </w:rPr>
              <w:t>—</w:t>
            </w:r>
          </w:p>
        </w:tc>
        <w:tc>
          <w:tcPr>
            <w:tcW w:w="388" w:type="pct"/>
            <w:vAlign w:val="center"/>
          </w:tcPr>
          <w:p w14:paraId="35594F6C">
            <w:pPr>
              <w:adjustRightInd/>
              <w:spacing w:line="240" w:lineRule="auto"/>
              <w:jc w:val="center"/>
              <w:rPr>
                <w:rFonts w:ascii="Times New Roman" w:hAnsi="Times New Roman"/>
                <w:sz w:val="18"/>
                <w:szCs w:val="18"/>
              </w:rPr>
            </w:pPr>
            <w:r>
              <w:rPr>
                <w:rFonts w:hint="eastAsia" w:ascii="Times New Roman" w:hAnsi="Times New Roman"/>
                <w:sz w:val="18"/>
                <w:szCs w:val="18"/>
              </w:rPr>
              <w:t>—</w:t>
            </w:r>
          </w:p>
        </w:tc>
        <w:tc>
          <w:tcPr>
            <w:tcW w:w="327" w:type="pct"/>
            <w:vAlign w:val="center"/>
          </w:tcPr>
          <w:p w14:paraId="633D0E1C">
            <w:pPr>
              <w:adjustRightInd/>
              <w:spacing w:line="240" w:lineRule="auto"/>
              <w:jc w:val="center"/>
              <w:rPr>
                <w:rFonts w:ascii="Times New Roman" w:hAnsi="Times New Roman"/>
                <w:sz w:val="18"/>
                <w:szCs w:val="18"/>
              </w:rPr>
            </w:pPr>
            <w:r>
              <w:rPr>
                <w:rFonts w:hint="eastAsia" w:ascii="Times New Roman" w:hAnsi="Times New Roman"/>
                <w:sz w:val="18"/>
                <w:szCs w:val="18"/>
              </w:rPr>
              <w:t>—</w:t>
            </w:r>
          </w:p>
        </w:tc>
        <w:tc>
          <w:tcPr>
            <w:tcW w:w="378" w:type="pct"/>
            <w:vAlign w:val="center"/>
          </w:tcPr>
          <w:p w14:paraId="164F6EF0">
            <w:pPr>
              <w:adjustRightInd/>
              <w:spacing w:line="240" w:lineRule="auto"/>
              <w:jc w:val="center"/>
              <w:rPr>
                <w:rFonts w:ascii="Times New Roman" w:hAnsi="Times New Roman"/>
                <w:sz w:val="18"/>
                <w:szCs w:val="18"/>
              </w:rPr>
            </w:pPr>
            <w:r>
              <w:rPr>
                <w:rFonts w:ascii="Times New Roman" w:hAnsi="Times New Roman"/>
                <w:sz w:val="18"/>
                <w:szCs w:val="18"/>
              </w:rPr>
              <w:t>100</w:t>
            </w:r>
          </w:p>
        </w:tc>
        <w:tc>
          <w:tcPr>
            <w:tcW w:w="327" w:type="pct"/>
            <w:vAlign w:val="center"/>
          </w:tcPr>
          <w:p w14:paraId="3EE1AA3D">
            <w:pPr>
              <w:adjustRightInd/>
              <w:spacing w:line="240" w:lineRule="auto"/>
              <w:jc w:val="center"/>
              <w:rPr>
                <w:rFonts w:ascii="Times New Roman" w:hAnsi="Times New Roman"/>
                <w:sz w:val="18"/>
                <w:szCs w:val="18"/>
              </w:rPr>
            </w:pPr>
            <w:r>
              <w:rPr>
                <w:rFonts w:ascii="Times New Roman" w:hAnsi="Times New Roman"/>
                <w:sz w:val="18"/>
                <w:szCs w:val="18"/>
              </w:rPr>
              <w:t>90~100</w:t>
            </w:r>
          </w:p>
        </w:tc>
        <w:tc>
          <w:tcPr>
            <w:tcW w:w="327" w:type="pct"/>
          </w:tcPr>
          <w:p w14:paraId="179B3899">
            <w:pPr>
              <w:adjustRightInd/>
              <w:spacing w:line="240" w:lineRule="auto"/>
              <w:jc w:val="center"/>
              <w:rPr>
                <w:rFonts w:ascii="Times New Roman" w:hAnsi="Times New Roman"/>
                <w:sz w:val="18"/>
                <w:szCs w:val="18"/>
              </w:rPr>
            </w:pPr>
            <w:r>
              <w:rPr>
                <w:rFonts w:hint="eastAsia" w:ascii="Times New Roman" w:hAnsi="Times New Roman"/>
                <w:sz w:val="18"/>
                <w:szCs w:val="18"/>
              </w:rPr>
              <w:t>—</w:t>
            </w:r>
          </w:p>
        </w:tc>
        <w:tc>
          <w:tcPr>
            <w:tcW w:w="327" w:type="pct"/>
            <w:vAlign w:val="center"/>
          </w:tcPr>
          <w:p w14:paraId="15E1EA1A">
            <w:pPr>
              <w:adjustRightInd/>
              <w:spacing w:line="240" w:lineRule="auto"/>
              <w:jc w:val="center"/>
              <w:rPr>
                <w:rFonts w:ascii="Times New Roman" w:hAnsi="Times New Roman"/>
                <w:sz w:val="18"/>
                <w:szCs w:val="18"/>
              </w:rPr>
            </w:pPr>
            <w:r>
              <w:rPr>
                <w:rFonts w:ascii="Times New Roman" w:hAnsi="Times New Roman"/>
                <w:sz w:val="18"/>
                <w:szCs w:val="18"/>
              </w:rPr>
              <w:t>28~60</w:t>
            </w:r>
          </w:p>
        </w:tc>
        <w:tc>
          <w:tcPr>
            <w:tcW w:w="327" w:type="pct"/>
            <w:vAlign w:val="center"/>
          </w:tcPr>
          <w:p w14:paraId="319ACFF6">
            <w:pPr>
              <w:adjustRightInd/>
              <w:spacing w:line="240" w:lineRule="auto"/>
              <w:jc w:val="center"/>
              <w:rPr>
                <w:rFonts w:ascii="Times New Roman" w:hAnsi="Times New Roman"/>
                <w:sz w:val="18"/>
                <w:szCs w:val="18"/>
              </w:rPr>
            </w:pPr>
            <w:r>
              <w:rPr>
                <w:rFonts w:ascii="Times New Roman" w:hAnsi="Times New Roman"/>
                <w:sz w:val="18"/>
                <w:szCs w:val="18"/>
              </w:rPr>
              <w:t>20~32</w:t>
            </w:r>
          </w:p>
        </w:tc>
        <w:tc>
          <w:tcPr>
            <w:tcW w:w="327" w:type="pct"/>
            <w:vAlign w:val="center"/>
          </w:tcPr>
          <w:p w14:paraId="11916358">
            <w:pPr>
              <w:adjustRightInd/>
              <w:spacing w:line="240" w:lineRule="auto"/>
              <w:jc w:val="center"/>
              <w:rPr>
                <w:rFonts w:ascii="Times New Roman" w:hAnsi="Times New Roman"/>
                <w:sz w:val="18"/>
                <w:szCs w:val="18"/>
              </w:rPr>
            </w:pPr>
            <w:r>
              <w:rPr>
                <w:rFonts w:ascii="Times New Roman" w:hAnsi="Times New Roman"/>
                <w:sz w:val="18"/>
                <w:szCs w:val="18"/>
              </w:rPr>
              <w:t>14~26</w:t>
            </w:r>
          </w:p>
        </w:tc>
        <w:tc>
          <w:tcPr>
            <w:tcW w:w="319" w:type="pct"/>
            <w:vAlign w:val="center"/>
          </w:tcPr>
          <w:p w14:paraId="7F1645FA">
            <w:pPr>
              <w:adjustRightInd/>
              <w:spacing w:line="240" w:lineRule="auto"/>
              <w:jc w:val="center"/>
              <w:rPr>
                <w:rFonts w:ascii="Times New Roman" w:hAnsi="Times New Roman"/>
                <w:sz w:val="18"/>
                <w:szCs w:val="18"/>
              </w:rPr>
            </w:pPr>
            <w:r>
              <w:rPr>
                <w:rFonts w:ascii="Times New Roman" w:hAnsi="Times New Roman"/>
                <w:sz w:val="18"/>
                <w:szCs w:val="18"/>
              </w:rPr>
              <w:t>12~22</w:t>
            </w:r>
          </w:p>
        </w:tc>
        <w:tc>
          <w:tcPr>
            <w:tcW w:w="319" w:type="pct"/>
            <w:vAlign w:val="center"/>
          </w:tcPr>
          <w:p w14:paraId="1DCEA5A6">
            <w:pPr>
              <w:adjustRightInd/>
              <w:spacing w:line="240" w:lineRule="auto"/>
              <w:jc w:val="center"/>
              <w:rPr>
                <w:rFonts w:ascii="Times New Roman" w:hAnsi="Times New Roman"/>
                <w:sz w:val="18"/>
                <w:szCs w:val="18"/>
              </w:rPr>
            </w:pPr>
            <w:r>
              <w:rPr>
                <w:rFonts w:ascii="Times New Roman" w:hAnsi="Times New Roman"/>
                <w:sz w:val="18"/>
                <w:szCs w:val="18"/>
              </w:rPr>
              <w:t>10~18</w:t>
            </w:r>
          </w:p>
        </w:tc>
        <w:tc>
          <w:tcPr>
            <w:tcW w:w="265" w:type="pct"/>
            <w:vAlign w:val="center"/>
          </w:tcPr>
          <w:p w14:paraId="6ECC9542">
            <w:pPr>
              <w:adjustRightInd/>
              <w:spacing w:line="240" w:lineRule="auto"/>
              <w:jc w:val="center"/>
              <w:rPr>
                <w:rFonts w:ascii="Times New Roman" w:hAnsi="Times New Roman"/>
                <w:sz w:val="18"/>
                <w:szCs w:val="18"/>
              </w:rPr>
            </w:pPr>
            <w:r>
              <w:rPr>
                <w:rFonts w:ascii="Times New Roman" w:hAnsi="Times New Roman"/>
                <w:sz w:val="18"/>
                <w:szCs w:val="18"/>
              </w:rPr>
              <w:t>9~16</w:t>
            </w:r>
          </w:p>
        </w:tc>
        <w:tc>
          <w:tcPr>
            <w:tcW w:w="305" w:type="pct"/>
            <w:vAlign w:val="center"/>
          </w:tcPr>
          <w:p w14:paraId="0AD02351">
            <w:pPr>
              <w:adjustRightInd/>
              <w:spacing w:line="240" w:lineRule="auto"/>
              <w:jc w:val="center"/>
              <w:rPr>
                <w:rFonts w:ascii="Times New Roman" w:hAnsi="Times New Roman"/>
                <w:sz w:val="18"/>
                <w:szCs w:val="18"/>
              </w:rPr>
            </w:pPr>
            <w:r>
              <w:rPr>
                <w:rFonts w:ascii="Times New Roman" w:hAnsi="Times New Roman"/>
                <w:sz w:val="18"/>
                <w:szCs w:val="18"/>
              </w:rPr>
              <w:t>8~13</w:t>
            </w:r>
          </w:p>
        </w:tc>
      </w:tr>
      <w:tr w14:paraId="40D6B716">
        <w:tblPrEx>
          <w:tblBorders>
            <w:top w:val="single" w:color="auto" w:sz="8" w:space="0"/>
            <w:left w:val="single" w:color="auto" w:sz="8" w:space="0"/>
            <w:bottom w:val="single" w:color="auto" w:sz="8" w:space="0"/>
            <w:right w:val="single" w:color="auto" w:sz="8" w:space="0"/>
            <w:insideH w:val="outset" w:color="000000" w:sz="6" w:space="0"/>
            <w:insideV w:val="outset" w:color="000000" w:sz="6" w:space="0"/>
          </w:tblBorders>
        </w:tblPrEx>
        <w:trPr>
          <w:trHeight w:val="340" w:hRule="atLeast"/>
          <w:jc w:val="center"/>
        </w:trPr>
        <w:tc>
          <w:tcPr>
            <w:tcW w:w="433" w:type="pct"/>
            <w:vAlign w:val="center"/>
          </w:tcPr>
          <w:p w14:paraId="3EB4CE5C">
            <w:pPr>
              <w:adjustRightInd/>
              <w:spacing w:line="240" w:lineRule="auto"/>
              <w:jc w:val="center"/>
              <w:rPr>
                <w:rFonts w:ascii="Times New Roman" w:hAnsi="Times New Roman"/>
                <w:sz w:val="18"/>
                <w:szCs w:val="18"/>
              </w:rPr>
            </w:pPr>
            <w:r>
              <w:rPr>
                <w:rFonts w:ascii="Times New Roman" w:hAnsi="Times New Roman"/>
                <w:sz w:val="18"/>
                <w:szCs w:val="18"/>
              </w:rPr>
              <w:t>SMA-13</w:t>
            </w:r>
          </w:p>
        </w:tc>
        <w:tc>
          <w:tcPr>
            <w:tcW w:w="243" w:type="pct"/>
            <w:vAlign w:val="center"/>
          </w:tcPr>
          <w:p w14:paraId="63E324C3">
            <w:pPr>
              <w:adjustRightInd/>
              <w:spacing w:line="240" w:lineRule="auto"/>
              <w:jc w:val="center"/>
              <w:rPr>
                <w:rFonts w:ascii="Times New Roman" w:hAnsi="Times New Roman"/>
                <w:sz w:val="18"/>
                <w:szCs w:val="18"/>
              </w:rPr>
            </w:pPr>
            <w:r>
              <w:rPr>
                <w:rFonts w:hint="eastAsia" w:ascii="Times New Roman" w:hAnsi="Times New Roman"/>
                <w:sz w:val="18"/>
                <w:szCs w:val="18"/>
              </w:rPr>
              <w:t>—</w:t>
            </w:r>
          </w:p>
        </w:tc>
        <w:tc>
          <w:tcPr>
            <w:tcW w:w="388" w:type="pct"/>
            <w:vAlign w:val="center"/>
          </w:tcPr>
          <w:p w14:paraId="534D77DA">
            <w:pPr>
              <w:adjustRightInd/>
              <w:spacing w:line="240" w:lineRule="auto"/>
              <w:jc w:val="center"/>
              <w:rPr>
                <w:rFonts w:ascii="Times New Roman" w:hAnsi="Times New Roman"/>
                <w:sz w:val="18"/>
                <w:szCs w:val="18"/>
              </w:rPr>
            </w:pPr>
            <w:r>
              <w:rPr>
                <w:rFonts w:hint="eastAsia" w:ascii="Times New Roman" w:hAnsi="Times New Roman"/>
                <w:sz w:val="18"/>
                <w:szCs w:val="18"/>
              </w:rPr>
              <w:t>—</w:t>
            </w:r>
          </w:p>
        </w:tc>
        <w:tc>
          <w:tcPr>
            <w:tcW w:w="388" w:type="pct"/>
            <w:vAlign w:val="center"/>
          </w:tcPr>
          <w:p w14:paraId="7EBA2389">
            <w:pPr>
              <w:adjustRightInd/>
              <w:spacing w:line="240" w:lineRule="auto"/>
              <w:jc w:val="center"/>
              <w:rPr>
                <w:rFonts w:ascii="Times New Roman" w:hAnsi="Times New Roman"/>
                <w:sz w:val="18"/>
                <w:szCs w:val="18"/>
              </w:rPr>
            </w:pPr>
            <w:r>
              <w:rPr>
                <w:rFonts w:hint="eastAsia" w:ascii="Times New Roman" w:hAnsi="Times New Roman"/>
                <w:sz w:val="18"/>
                <w:szCs w:val="18"/>
              </w:rPr>
              <w:t>—</w:t>
            </w:r>
          </w:p>
        </w:tc>
        <w:tc>
          <w:tcPr>
            <w:tcW w:w="327" w:type="pct"/>
            <w:vAlign w:val="center"/>
          </w:tcPr>
          <w:p w14:paraId="0EDA7428">
            <w:pPr>
              <w:adjustRightInd/>
              <w:spacing w:line="240" w:lineRule="auto"/>
              <w:jc w:val="center"/>
              <w:rPr>
                <w:rFonts w:ascii="Times New Roman" w:hAnsi="Times New Roman"/>
                <w:sz w:val="18"/>
                <w:szCs w:val="18"/>
              </w:rPr>
            </w:pPr>
            <w:r>
              <w:rPr>
                <w:rFonts w:ascii="Times New Roman" w:hAnsi="Times New Roman"/>
                <w:sz w:val="18"/>
                <w:szCs w:val="18"/>
              </w:rPr>
              <w:t>100</w:t>
            </w:r>
          </w:p>
        </w:tc>
        <w:tc>
          <w:tcPr>
            <w:tcW w:w="378" w:type="pct"/>
            <w:vAlign w:val="center"/>
          </w:tcPr>
          <w:p w14:paraId="45CF424E">
            <w:pPr>
              <w:adjustRightInd/>
              <w:spacing w:line="240" w:lineRule="auto"/>
              <w:jc w:val="center"/>
              <w:rPr>
                <w:rFonts w:ascii="Times New Roman" w:hAnsi="Times New Roman"/>
                <w:sz w:val="18"/>
                <w:szCs w:val="18"/>
              </w:rPr>
            </w:pPr>
            <w:r>
              <w:rPr>
                <w:rFonts w:ascii="Times New Roman" w:hAnsi="Times New Roman"/>
                <w:sz w:val="18"/>
                <w:szCs w:val="18"/>
              </w:rPr>
              <w:t>90~100</w:t>
            </w:r>
          </w:p>
        </w:tc>
        <w:tc>
          <w:tcPr>
            <w:tcW w:w="327" w:type="pct"/>
            <w:vAlign w:val="center"/>
          </w:tcPr>
          <w:p w14:paraId="6483EBBB">
            <w:pPr>
              <w:adjustRightInd/>
              <w:spacing w:line="240" w:lineRule="auto"/>
              <w:jc w:val="center"/>
              <w:rPr>
                <w:rFonts w:ascii="Times New Roman" w:hAnsi="Times New Roman"/>
                <w:sz w:val="18"/>
                <w:szCs w:val="18"/>
              </w:rPr>
            </w:pPr>
            <w:r>
              <w:rPr>
                <w:rFonts w:ascii="Times New Roman" w:hAnsi="Times New Roman"/>
                <w:sz w:val="18"/>
                <w:szCs w:val="18"/>
              </w:rPr>
              <w:t>50~75</w:t>
            </w:r>
          </w:p>
        </w:tc>
        <w:tc>
          <w:tcPr>
            <w:tcW w:w="327" w:type="pct"/>
          </w:tcPr>
          <w:p w14:paraId="33ED4340">
            <w:pPr>
              <w:adjustRightInd/>
              <w:spacing w:line="240" w:lineRule="auto"/>
              <w:jc w:val="center"/>
              <w:rPr>
                <w:rFonts w:ascii="Times New Roman" w:hAnsi="Times New Roman"/>
                <w:sz w:val="18"/>
                <w:szCs w:val="18"/>
              </w:rPr>
            </w:pPr>
            <w:r>
              <w:rPr>
                <w:rFonts w:hint="eastAsia" w:ascii="Times New Roman" w:hAnsi="Times New Roman"/>
                <w:sz w:val="18"/>
                <w:szCs w:val="18"/>
              </w:rPr>
              <w:t>—</w:t>
            </w:r>
          </w:p>
        </w:tc>
        <w:tc>
          <w:tcPr>
            <w:tcW w:w="327" w:type="pct"/>
            <w:vAlign w:val="center"/>
          </w:tcPr>
          <w:p w14:paraId="242C7CBB">
            <w:pPr>
              <w:adjustRightInd/>
              <w:spacing w:line="240" w:lineRule="auto"/>
              <w:jc w:val="center"/>
              <w:rPr>
                <w:rFonts w:ascii="Times New Roman" w:hAnsi="Times New Roman"/>
                <w:sz w:val="18"/>
                <w:szCs w:val="18"/>
              </w:rPr>
            </w:pPr>
            <w:r>
              <w:rPr>
                <w:rFonts w:ascii="Times New Roman" w:hAnsi="Times New Roman"/>
                <w:sz w:val="18"/>
                <w:szCs w:val="18"/>
              </w:rPr>
              <w:t>20~34</w:t>
            </w:r>
          </w:p>
        </w:tc>
        <w:tc>
          <w:tcPr>
            <w:tcW w:w="327" w:type="pct"/>
            <w:vAlign w:val="center"/>
          </w:tcPr>
          <w:p w14:paraId="62D7A737">
            <w:pPr>
              <w:adjustRightInd/>
              <w:spacing w:line="240" w:lineRule="auto"/>
              <w:jc w:val="center"/>
              <w:rPr>
                <w:rFonts w:ascii="Times New Roman" w:hAnsi="Times New Roman"/>
                <w:sz w:val="18"/>
                <w:szCs w:val="18"/>
              </w:rPr>
            </w:pPr>
            <w:r>
              <w:rPr>
                <w:rFonts w:ascii="Times New Roman" w:hAnsi="Times New Roman"/>
                <w:sz w:val="18"/>
                <w:szCs w:val="18"/>
              </w:rPr>
              <w:t>15~26</w:t>
            </w:r>
          </w:p>
        </w:tc>
        <w:tc>
          <w:tcPr>
            <w:tcW w:w="327" w:type="pct"/>
            <w:vAlign w:val="center"/>
          </w:tcPr>
          <w:p w14:paraId="3D06AC7A">
            <w:pPr>
              <w:adjustRightInd/>
              <w:spacing w:line="240" w:lineRule="auto"/>
              <w:jc w:val="center"/>
              <w:rPr>
                <w:rFonts w:ascii="Times New Roman" w:hAnsi="Times New Roman"/>
                <w:sz w:val="18"/>
                <w:szCs w:val="18"/>
              </w:rPr>
            </w:pPr>
            <w:r>
              <w:rPr>
                <w:rFonts w:ascii="Times New Roman" w:hAnsi="Times New Roman"/>
                <w:sz w:val="18"/>
                <w:szCs w:val="18"/>
              </w:rPr>
              <w:t>14~24</w:t>
            </w:r>
          </w:p>
        </w:tc>
        <w:tc>
          <w:tcPr>
            <w:tcW w:w="319" w:type="pct"/>
            <w:vAlign w:val="center"/>
          </w:tcPr>
          <w:p w14:paraId="4C929D39">
            <w:pPr>
              <w:adjustRightInd/>
              <w:spacing w:line="240" w:lineRule="auto"/>
              <w:jc w:val="center"/>
              <w:rPr>
                <w:rFonts w:ascii="Times New Roman" w:hAnsi="Times New Roman"/>
                <w:sz w:val="18"/>
                <w:szCs w:val="18"/>
              </w:rPr>
            </w:pPr>
            <w:r>
              <w:rPr>
                <w:rFonts w:ascii="Times New Roman" w:hAnsi="Times New Roman"/>
                <w:sz w:val="18"/>
                <w:szCs w:val="18"/>
              </w:rPr>
              <w:t>12~20</w:t>
            </w:r>
          </w:p>
        </w:tc>
        <w:tc>
          <w:tcPr>
            <w:tcW w:w="319" w:type="pct"/>
            <w:vAlign w:val="center"/>
          </w:tcPr>
          <w:p w14:paraId="5FC6B331">
            <w:pPr>
              <w:adjustRightInd/>
              <w:spacing w:line="240" w:lineRule="auto"/>
              <w:jc w:val="center"/>
              <w:rPr>
                <w:rFonts w:ascii="Times New Roman" w:hAnsi="Times New Roman"/>
                <w:sz w:val="18"/>
                <w:szCs w:val="18"/>
              </w:rPr>
            </w:pPr>
            <w:r>
              <w:rPr>
                <w:rFonts w:ascii="Times New Roman" w:hAnsi="Times New Roman"/>
                <w:sz w:val="18"/>
                <w:szCs w:val="18"/>
              </w:rPr>
              <w:t>10~16</w:t>
            </w:r>
          </w:p>
        </w:tc>
        <w:tc>
          <w:tcPr>
            <w:tcW w:w="265" w:type="pct"/>
            <w:vAlign w:val="center"/>
          </w:tcPr>
          <w:p w14:paraId="372CFD6D">
            <w:pPr>
              <w:adjustRightInd/>
              <w:spacing w:line="240" w:lineRule="auto"/>
              <w:jc w:val="center"/>
              <w:rPr>
                <w:rFonts w:ascii="Times New Roman" w:hAnsi="Times New Roman"/>
                <w:sz w:val="18"/>
                <w:szCs w:val="18"/>
              </w:rPr>
            </w:pPr>
            <w:r>
              <w:rPr>
                <w:rFonts w:ascii="Times New Roman" w:hAnsi="Times New Roman"/>
                <w:sz w:val="18"/>
                <w:szCs w:val="18"/>
              </w:rPr>
              <w:t>9~15</w:t>
            </w:r>
          </w:p>
        </w:tc>
        <w:tc>
          <w:tcPr>
            <w:tcW w:w="305" w:type="pct"/>
            <w:vAlign w:val="center"/>
          </w:tcPr>
          <w:p w14:paraId="5B787548">
            <w:pPr>
              <w:adjustRightInd/>
              <w:spacing w:line="240" w:lineRule="auto"/>
              <w:jc w:val="center"/>
              <w:rPr>
                <w:rFonts w:ascii="Times New Roman" w:hAnsi="Times New Roman"/>
                <w:sz w:val="18"/>
                <w:szCs w:val="18"/>
              </w:rPr>
            </w:pPr>
            <w:r>
              <w:rPr>
                <w:rFonts w:ascii="Times New Roman" w:hAnsi="Times New Roman"/>
                <w:sz w:val="18"/>
                <w:szCs w:val="18"/>
              </w:rPr>
              <w:t>8~12</w:t>
            </w:r>
          </w:p>
        </w:tc>
      </w:tr>
      <w:tr w14:paraId="14415E82">
        <w:tblPrEx>
          <w:tblBorders>
            <w:top w:val="single" w:color="auto" w:sz="8" w:space="0"/>
            <w:left w:val="single" w:color="auto" w:sz="8" w:space="0"/>
            <w:bottom w:val="single" w:color="auto" w:sz="8" w:space="0"/>
            <w:right w:val="single" w:color="auto" w:sz="8" w:space="0"/>
            <w:insideH w:val="outset" w:color="000000" w:sz="6" w:space="0"/>
            <w:insideV w:val="outset" w:color="000000" w:sz="6" w:space="0"/>
          </w:tblBorders>
          <w:tblCellMar>
            <w:top w:w="15" w:type="dxa"/>
            <w:left w:w="15" w:type="dxa"/>
            <w:bottom w:w="15" w:type="dxa"/>
            <w:right w:w="15" w:type="dxa"/>
          </w:tblCellMar>
        </w:tblPrEx>
        <w:trPr>
          <w:trHeight w:val="340" w:hRule="atLeast"/>
          <w:jc w:val="center"/>
        </w:trPr>
        <w:tc>
          <w:tcPr>
            <w:tcW w:w="433" w:type="pct"/>
            <w:vAlign w:val="center"/>
          </w:tcPr>
          <w:p w14:paraId="64FD816B">
            <w:pPr>
              <w:adjustRightInd/>
              <w:spacing w:line="240" w:lineRule="auto"/>
              <w:jc w:val="center"/>
              <w:rPr>
                <w:rFonts w:ascii="Times New Roman" w:hAnsi="Times New Roman"/>
                <w:sz w:val="18"/>
                <w:szCs w:val="18"/>
              </w:rPr>
            </w:pPr>
            <w:r>
              <w:rPr>
                <w:rFonts w:ascii="Times New Roman" w:hAnsi="Times New Roman"/>
                <w:sz w:val="18"/>
                <w:szCs w:val="18"/>
              </w:rPr>
              <w:t>AC-10</w:t>
            </w:r>
          </w:p>
        </w:tc>
        <w:tc>
          <w:tcPr>
            <w:tcW w:w="243" w:type="pct"/>
            <w:vAlign w:val="center"/>
          </w:tcPr>
          <w:p w14:paraId="48A3E031">
            <w:pPr>
              <w:adjustRightInd/>
              <w:spacing w:line="240" w:lineRule="auto"/>
              <w:jc w:val="center"/>
              <w:rPr>
                <w:rFonts w:ascii="Times New Roman" w:hAnsi="Times New Roman"/>
                <w:sz w:val="18"/>
                <w:szCs w:val="18"/>
              </w:rPr>
            </w:pPr>
            <w:r>
              <w:rPr>
                <w:rFonts w:hint="eastAsia" w:ascii="Times New Roman" w:hAnsi="Times New Roman"/>
                <w:sz w:val="18"/>
                <w:szCs w:val="18"/>
              </w:rPr>
              <w:t>—</w:t>
            </w:r>
          </w:p>
        </w:tc>
        <w:tc>
          <w:tcPr>
            <w:tcW w:w="388" w:type="pct"/>
            <w:vAlign w:val="center"/>
          </w:tcPr>
          <w:p w14:paraId="06C18C9C">
            <w:pPr>
              <w:adjustRightInd/>
              <w:spacing w:line="240" w:lineRule="auto"/>
              <w:jc w:val="center"/>
              <w:rPr>
                <w:rFonts w:ascii="Times New Roman" w:hAnsi="Times New Roman"/>
                <w:sz w:val="18"/>
                <w:szCs w:val="18"/>
              </w:rPr>
            </w:pPr>
            <w:r>
              <w:rPr>
                <w:rFonts w:hint="eastAsia" w:ascii="Times New Roman" w:hAnsi="Times New Roman"/>
                <w:sz w:val="18"/>
                <w:szCs w:val="18"/>
              </w:rPr>
              <w:t>—</w:t>
            </w:r>
          </w:p>
        </w:tc>
        <w:tc>
          <w:tcPr>
            <w:tcW w:w="388" w:type="pct"/>
            <w:vAlign w:val="center"/>
          </w:tcPr>
          <w:p w14:paraId="278EC81C">
            <w:pPr>
              <w:adjustRightInd/>
              <w:spacing w:line="240" w:lineRule="auto"/>
              <w:jc w:val="center"/>
              <w:rPr>
                <w:rFonts w:ascii="Times New Roman" w:hAnsi="Times New Roman"/>
                <w:sz w:val="18"/>
                <w:szCs w:val="18"/>
              </w:rPr>
            </w:pPr>
            <w:r>
              <w:rPr>
                <w:rFonts w:hint="eastAsia" w:ascii="Times New Roman" w:hAnsi="Times New Roman"/>
                <w:sz w:val="18"/>
                <w:szCs w:val="18"/>
              </w:rPr>
              <w:t>—</w:t>
            </w:r>
          </w:p>
        </w:tc>
        <w:tc>
          <w:tcPr>
            <w:tcW w:w="327" w:type="pct"/>
            <w:vAlign w:val="center"/>
          </w:tcPr>
          <w:p w14:paraId="6A9BC908">
            <w:pPr>
              <w:adjustRightInd/>
              <w:spacing w:line="240" w:lineRule="auto"/>
              <w:jc w:val="center"/>
              <w:rPr>
                <w:rFonts w:ascii="Times New Roman" w:hAnsi="Times New Roman"/>
                <w:sz w:val="18"/>
                <w:szCs w:val="18"/>
              </w:rPr>
            </w:pPr>
            <w:r>
              <w:rPr>
                <w:rFonts w:hint="eastAsia" w:ascii="Times New Roman" w:hAnsi="Times New Roman"/>
                <w:sz w:val="18"/>
                <w:szCs w:val="18"/>
              </w:rPr>
              <w:t>—</w:t>
            </w:r>
          </w:p>
        </w:tc>
        <w:tc>
          <w:tcPr>
            <w:tcW w:w="378" w:type="pct"/>
            <w:vAlign w:val="center"/>
          </w:tcPr>
          <w:p w14:paraId="3E1DC7A2">
            <w:pPr>
              <w:adjustRightInd/>
              <w:spacing w:line="240" w:lineRule="auto"/>
              <w:jc w:val="center"/>
              <w:rPr>
                <w:rFonts w:ascii="Times New Roman" w:hAnsi="Times New Roman"/>
                <w:sz w:val="18"/>
                <w:szCs w:val="18"/>
              </w:rPr>
            </w:pPr>
            <w:r>
              <w:rPr>
                <w:rFonts w:ascii="Times New Roman" w:hAnsi="Times New Roman"/>
                <w:sz w:val="18"/>
                <w:szCs w:val="18"/>
              </w:rPr>
              <w:t>100</w:t>
            </w:r>
          </w:p>
        </w:tc>
        <w:tc>
          <w:tcPr>
            <w:tcW w:w="327" w:type="pct"/>
            <w:vAlign w:val="center"/>
          </w:tcPr>
          <w:p w14:paraId="1E369F66">
            <w:pPr>
              <w:adjustRightInd/>
              <w:spacing w:line="240" w:lineRule="auto"/>
              <w:jc w:val="center"/>
              <w:rPr>
                <w:rFonts w:ascii="Times New Roman" w:hAnsi="Times New Roman"/>
                <w:sz w:val="18"/>
                <w:szCs w:val="18"/>
              </w:rPr>
            </w:pPr>
            <w:r>
              <w:rPr>
                <w:rFonts w:ascii="Times New Roman" w:hAnsi="Times New Roman"/>
                <w:sz w:val="18"/>
                <w:szCs w:val="18"/>
              </w:rPr>
              <w:t>90~100</w:t>
            </w:r>
          </w:p>
        </w:tc>
        <w:tc>
          <w:tcPr>
            <w:tcW w:w="327" w:type="pct"/>
          </w:tcPr>
          <w:p w14:paraId="0E255592">
            <w:pPr>
              <w:adjustRightInd/>
              <w:spacing w:line="240" w:lineRule="auto"/>
              <w:jc w:val="center"/>
              <w:rPr>
                <w:rFonts w:ascii="Times New Roman" w:hAnsi="Times New Roman"/>
                <w:sz w:val="18"/>
                <w:szCs w:val="18"/>
              </w:rPr>
            </w:pPr>
            <w:r>
              <w:rPr>
                <w:rFonts w:hint="eastAsia" w:ascii="Times New Roman" w:hAnsi="Times New Roman"/>
                <w:sz w:val="18"/>
                <w:szCs w:val="18"/>
              </w:rPr>
              <w:t>—</w:t>
            </w:r>
          </w:p>
        </w:tc>
        <w:tc>
          <w:tcPr>
            <w:tcW w:w="327" w:type="pct"/>
            <w:vAlign w:val="center"/>
          </w:tcPr>
          <w:p w14:paraId="51FE6940">
            <w:pPr>
              <w:adjustRightInd/>
              <w:spacing w:line="240" w:lineRule="auto"/>
              <w:jc w:val="center"/>
              <w:rPr>
                <w:rFonts w:ascii="Times New Roman" w:hAnsi="Times New Roman"/>
                <w:sz w:val="18"/>
                <w:szCs w:val="18"/>
              </w:rPr>
            </w:pPr>
            <w:r>
              <w:rPr>
                <w:rFonts w:ascii="Times New Roman" w:hAnsi="Times New Roman"/>
                <w:sz w:val="18"/>
                <w:szCs w:val="18"/>
              </w:rPr>
              <w:t>45~75</w:t>
            </w:r>
          </w:p>
        </w:tc>
        <w:tc>
          <w:tcPr>
            <w:tcW w:w="327" w:type="pct"/>
            <w:vAlign w:val="center"/>
          </w:tcPr>
          <w:p w14:paraId="7FEBA34E">
            <w:pPr>
              <w:adjustRightInd/>
              <w:spacing w:line="240" w:lineRule="auto"/>
              <w:jc w:val="center"/>
              <w:rPr>
                <w:rFonts w:ascii="Times New Roman" w:hAnsi="Times New Roman"/>
                <w:sz w:val="18"/>
                <w:szCs w:val="18"/>
              </w:rPr>
            </w:pPr>
            <w:r>
              <w:rPr>
                <w:rFonts w:ascii="Times New Roman" w:hAnsi="Times New Roman"/>
                <w:sz w:val="18"/>
                <w:szCs w:val="18"/>
              </w:rPr>
              <w:t>30~58</w:t>
            </w:r>
          </w:p>
        </w:tc>
        <w:tc>
          <w:tcPr>
            <w:tcW w:w="327" w:type="pct"/>
            <w:vAlign w:val="center"/>
          </w:tcPr>
          <w:p w14:paraId="1E374596">
            <w:pPr>
              <w:adjustRightInd/>
              <w:spacing w:line="240" w:lineRule="auto"/>
              <w:jc w:val="center"/>
              <w:rPr>
                <w:rFonts w:ascii="Times New Roman" w:hAnsi="Times New Roman"/>
                <w:sz w:val="18"/>
                <w:szCs w:val="18"/>
              </w:rPr>
            </w:pPr>
            <w:r>
              <w:rPr>
                <w:rFonts w:ascii="Times New Roman" w:hAnsi="Times New Roman"/>
                <w:sz w:val="18"/>
                <w:szCs w:val="18"/>
              </w:rPr>
              <w:t>20~40</w:t>
            </w:r>
          </w:p>
        </w:tc>
        <w:tc>
          <w:tcPr>
            <w:tcW w:w="319" w:type="pct"/>
            <w:vAlign w:val="center"/>
          </w:tcPr>
          <w:p w14:paraId="3DDF0183">
            <w:pPr>
              <w:adjustRightInd/>
              <w:spacing w:line="240" w:lineRule="auto"/>
              <w:jc w:val="center"/>
              <w:rPr>
                <w:rFonts w:ascii="Times New Roman" w:hAnsi="Times New Roman"/>
                <w:sz w:val="18"/>
                <w:szCs w:val="18"/>
              </w:rPr>
            </w:pPr>
            <w:r>
              <w:rPr>
                <w:rFonts w:ascii="Times New Roman" w:hAnsi="Times New Roman"/>
                <w:sz w:val="18"/>
                <w:szCs w:val="18"/>
              </w:rPr>
              <w:t>13~32</w:t>
            </w:r>
          </w:p>
        </w:tc>
        <w:tc>
          <w:tcPr>
            <w:tcW w:w="319" w:type="pct"/>
            <w:vAlign w:val="center"/>
          </w:tcPr>
          <w:p w14:paraId="14437D81">
            <w:pPr>
              <w:adjustRightInd/>
              <w:spacing w:line="240" w:lineRule="auto"/>
              <w:jc w:val="center"/>
              <w:rPr>
                <w:rFonts w:ascii="Times New Roman" w:hAnsi="Times New Roman"/>
                <w:sz w:val="18"/>
                <w:szCs w:val="18"/>
              </w:rPr>
            </w:pPr>
            <w:r>
              <w:rPr>
                <w:rFonts w:ascii="Times New Roman" w:hAnsi="Times New Roman"/>
                <w:sz w:val="18"/>
                <w:szCs w:val="18"/>
              </w:rPr>
              <w:t>9~23</w:t>
            </w:r>
          </w:p>
        </w:tc>
        <w:tc>
          <w:tcPr>
            <w:tcW w:w="265" w:type="pct"/>
            <w:vAlign w:val="center"/>
          </w:tcPr>
          <w:p w14:paraId="71A13BFE">
            <w:pPr>
              <w:adjustRightInd/>
              <w:spacing w:line="240" w:lineRule="auto"/>
              <w:jc w:val="center"/>
              <w:rPr>
                <w:rFonts w:ascii="Times New Roman" w:hAnsi="Times New Roman"/>
                <w:sz w:val="18"/>
                <w:szCs w:val="18"/>
              </w:rPr>
            </w:pPr>
            <w:r>
              <w:rPr>
                <w:rFonts w:ascii="Times New Roman" w:hAnsi="Times New Roman"/>
                <w:sz w:val="18"/>
                <w:szCs w:val="18"/>
              </w:rPr>
              <w:t>6~16</w:t>
            </w:r>
          </w:p>
        </w:tc>
        <w:tc>
          <w:tcPr>
            <w:tcW w:w="305" w:type="pct"/>
            <w:vAlign w:val="center"/>
          </w:tcPr>
          <w:p w14:paraId="532AC582">
            <w:pPr>
              <w:adjustRightInd/>
              <w:spacing w:line="240" w:lineRule="auto"/>
              <w:jc w:val="center"/>
              <w:rPr>
                <w:rFonts w:ascii="Times New Roman" w:hAnsi="Times New Roman"/>
                <w:sz w:val="18"/>
                <w:szCs w:val="18"/>
              </w:rPr>
            </w:pPr>
            <w:r>
              <w:rPr>
                <w:rFonts w:ascii="Times New Roman" w:hAnsi="Times New Roman"/>
                <w:sz w:val="18"/>
                <w:szCs w:val="18"/>
              </w:rPr>
              <w:t>4~8</w:t>
            </w:r>
          </w:p>
        </w:tc>
      </w:tr>
      <w:tr w14:paraId="64103B88">
        <w:tblPrEx>
          <w:tblBorders>
            <w:top w:val="single" w:color="auto" w:sz="8" w:space="0"/>
            <w:left w:val="single" w:color="auto" w:sz="8" w:space="0"/>
            <w:bottom w:val="single" w:color="auto" w:sz="8" w:space="0"/>
            <w:right w:val="single" w:color="auto" w:sz="8" w:space="0"/>
            <w:insideH w:val="outset" w:color="000000" w:sz="6" w:space="0"/>
            <w:insideV w:val="outset" w:color="000000" w:sz="6" w:space="0"/>
          </w:tblBorders>
          <w:tblCellMar>
            <w:top w:w="15" w:type="dxa"/>
            <w:left w:w="15" w:type="dxa"/>
            <w:bottom w:w="15" w:type="dxa"/>
            <w:right w:w="15" w:type="dxa"/>
          </w:tblCellMar>
        </w:tblPrEx>
        <w:trPr>
          <w:trHeight w:val="340" w:hRule="atLeast"/>
          <w:jc w:val="center"/>
        </w:trPr>
        <w:tc>
          <w:tcPr>
            <w:tcW w:w="433" w:type="pct"/>
            <w:vAlign w:val="center"/>
          </w:tcPr>
          <w:p w14:paraId="04D39CE1">
            <w:pPr>
              <w:adjustRightInd/>
              <w:spacing w:line="240" w:lineRule="auto"/>
              <w:jc w:val="center"/>
              <w:rPr>
                <w:rFonts w:ascii="Times New Roman" w:hAnsi="Times New Roman"/>
                <w:sz w:val="18"/>
                <w:szCs w:val="18"/>
              </w:rPr>
            </w:pPr>
            <w:r>
              <w:rPr>
                <w:rFonts w:ascii="Times New Roman" w:hAnsi="Times New Roman"/>
                <w:sz w:val="18"/>
                <w:szCs w:val="18"/>
              </w:rPr>
              <w:t>AC-13</w:t>
            </w:r>
          </w:p>
        </w:tc>
        <w:tc>
          <w:tcPr>
            <w:tcW w:w="243" w:type="pct"/>
            <w:vAlign w:val="center"/>
          </w:tcPr>
          <w:p w14:paraId="043BB399">
            <w:pPr>
              <w:adjustRightInd/>
              <w:spacing w:line="240" w:lineRule="auto"/>
              <w:jc w:val="center"/>
              <w:rPr>
                <w:rFonts w:ascii="Times New Roman" w:hAnsi="Times New Roman"/>
                <w:sz w:val="18"/>
                <w:szCs w:val="18"/>
              </w:rPr>
            </w:pPr>
            <w:r>
              <w:rPr>
                <w:rFonts w:hint="eastAsia" w:ascii="Times New Roman" w:hAnsi="Times New Roman"/>
                <w:sz w:val="18"/>
                <w:szCs w:val="18"/>
              </w:rPr>
              <w:t>—</w:t>
            </w:r>
          </w:p>
        </w:tc>
        <w:tc>
          <w:tcPr>
            <w:tcW w:w="388" w:type="pct"/>
            <w:vAlign w:val="center"/>
          </w:tcPr>
          <w:p w14:paraId="0DE05848">
            <w:pPr>
              <w:adjustRightInd/>
              <w:spacing w:line="240" w:lineRule="auto"/>
              <w:jc w:val="center"/>
              <w:rPr>
                <w:rFonts w:ascii="Times New Roman" w:hAnsi="Times New Roman"/>
                <w:sz w:val="18"/>
                <w:szCs w:val="18"/>
              </w:rPr>
            </w:pPr>
            <w:r>
              <w:rPr>
                <w:rFonts w:hint="eastAsia" w:ascii="Times New Roman" w:hAnsi="Times New Roman"/>
                <w:sz w:val="18"/>
                <w:szCs w:val="18"/>
              </w:rPr>
              <w:t>—</w:t>
            </w:r>
          </w:p>
        </w:tc>
        <w:tc>
          <w:tcPr>
            <w:tcW w:w="388" w:type="pct"/>
            <w:vAlign w:val="center"/>
          </w:tcPr>
          <w:p w14:paraId="438F5EF8">
            <w:pPr>
              <w:adjustRightInd/>
              <w:spacing w:line="240" w:lineRule="auto"/>
              <w:jc w:val="center"/>
              <w:rPr>
                <w:rFonts w:ascii="Times New Roman" w:hAnsi="Times New Roman"/>
                <w:sz w:val="18"/>
                <w:szCs w:val="18"/>
              </w:rPr>
            </w:pPr>
            <w:r>
              <w:rPr>
                <w:rFonts w:hint="eastAsia" w:ascii="Times New Roman" w:hAnsi="Times New Roman"/>
                <w:sz w:val="18"/>
                <w:szCs w:val="18"/>
              </w:rPr>
              <w:t>—</w:t>
            </w:r>
          </w:p>
        </w:tc>
        <w:tc>
          <w:tcPr>
            <w:tcW w:w="327" w:type="pct"/>
            <w:vAlign w:val="center"/>
          </w:tcPr>
          <w:p w14:paraId="5FC06AA5">
            <w:pPr>
              <w:adjustRightInd/>
              <w:spacing w:line="240" w:lineRule="auto"/>
              <w:jc w:val="center"/>
              <w:rPr>
                <w:rFonts w:ascii="Times New Roman" w:hAnsi="Times New Roman"/>
                <w:sz w:val="18"/>
                <w:szCs w:val="18"/>
              </w:rPr>
            </w:pPr>
            <w:r>
              <w:rPr>
                <w:rFonts w:ascii="Times New Roman" w:hAnsi="Times New Roman"/>
                <w:sz w:val="18"/>
                <w:szCs w:val="18"/>
              </w:rPr>
              <w:t>95~100</w:t>
            </w:r>
          </w:p>
        </w:tc>
        <w:tc>
          <w:tcPr>
            <w:tcW w:w="378" w:type="pct"/>
            <w:vAlign w:val="center"/>
          </w:tcPr>
          <w:p w14:paraId="772DD68D">
            <w:pPr>
              <w:adjustRightInd/>
              <w:spacing w:line="240" w:lineRule="auto"/>
              <w:jc w:val="center"/>
              <w:rPr>
                <w:rFonts w:ascii="Times New Roman" w:hAnsi="Times New Roman"/>
                <w:sz w:val="18"/>
                <w:szCs w:val="18"/>
              </w:rPr>
            </w:pPr>
            <w:r>
              <w:rPr>
                <w:rFonts w:ascii="Times New Roman" w:hAnsi="Times New Roman"/>
                <w:sz w:val="18"/>
                <w:szCs w:val="18"/>
              </w:rPr>
              <w:t>88~96</w:t>
            </w:r>
          </w:p>
        </w:tc>
        <w:tc>
          <w:tcPr>
            <w:tcW w:w="327" w:type="pct"/>
            <w:vAlign w:val="center"/>
          </w:tcPr>
          <w:p w14:paraId="3FC8A05A">
            <w:pPr>
              <w:adjustRightInd/>
              <w:spacing w:line="240" w:lineRule="auto"/>
              <w:jc w:val="center"/>
              <w:rPr>
                <w:rFonts w:ascii="Times New Roman" w:hAnsi="Times New Roman"/>
                <w:sz w:val="18"/>
                <w:szCs w:val="18"/>
              </w:rPr>
            </w:pPr>
            <w:r>
              <w:rPr>
                <w:rFonts w:ascii="Times New Roman" w:hAnsi="Times New Roman"/>
                <w:sz w:val="18"/>
                <w:szCs w:val="18"/>
              </w:rPr>
              <w:t>72~83</w:t>
            </w:r>
          </w:p>
        </w:tc>
        <w:tc>
          <w:tcPr>
            <w:tcW w:w="327" w:type="pct"/>
          </w:tcPr>
          <w:p w14:paraId="323F1D17">
            <w:pPr>
              <w:adjustRightInd/>
              <w:spacing w:line="240" w:lineRule="auto"/>
              <w:jc w:val="center"/>
              <w:rPr>
                <w:rFonts w:ascii="Times New Roman" w:hAnsi="Times New Roman"/>
                <w:sz w:val="18"/>
                <w:szCs w:val="18"/>
              </w:rPr>
            </w:pPr>
            <w:r>
              <w:rPr>
                <w:rFonts w:hint="eastAsia" w:ascii="Times New Roman" w:hAnsi="Times New Roman"/>
                <w:sz w:val="18"/>
                <w:szCs w:val="18"/>
              </w:rPr>
              <w:t>—</w:t>
            </w:r>
          </w:p>
        </w:tc>
        <w:tc>
          <w:tcPr>
            <w:tcW w:w="327" w:type="pct"/>
            <w:vAlign w:val="center"/>
          </w:tcPr>
          <w:p w14:paraId="07166140">
            <w:pPr>
              <w:adjustRightInd/>
              <w:spacing w:line="240" w:lineRule="auto"/>
              <w:jc w:val="center"/>
              <w:rPr>
                <w:rFonts w:ascii="Times New Roman" w:hAnsi="Times New Roman"/>
                <w:sz w:val="18"/>
                <w:szCs w:val="18"/>
              </w:rPr>
            </w:pPr>
            <w:r>
              <w:rPr>
                <w:rFonts w:ascii="Times New Roman" w:hAnsi="Times New Roman"/>
                <w:sz w:val="18"/>
                <w:szCs w:val="18"/>
              </w:rPr>
              <w:t>42~55</w:t>
            </w:r>
          </w:p>
        </w:tc>
        <w:tc>
          <w:tcPr>
            <w:tcW w:w="327" w:type="pct"/>
            <w:vAlign w:val="center"/>
          </w:tcPr>
          <w:p w14:paraId="68E3A1DD">
            <w:pPr>
              <w:adjustRightInd/>
              <w:spacing w:line="240" w:lineRule="auto"/>
              <w:jc w:val="center"/>
              <w:rPr>
                <w:rFonts w:ascii="Times New Roman" w:hAnsi="Times New Roman"/>
                <w:sz w:val="18"/>
                <w:szCs w:val="18"/>
              </w:rPr>
            </w:pPr>
            <w:r>
              <w:rPr>
                <w:rFonts w:ascii="Times New Roman" w:hAnsi="Times New Roman"/>
                <w:sz w:val="18"/>
                <w:szCs w:val="18"/>
              </w:rPr>
              <w:t>28~38</w:t>
            </w:r>
          </w:p>
        </w:tc>
        <w:tc>
          <w:tcPr>
            <w:tcW w:w="327" w:type="pct"/>
            <w:vAlign w:val="center"/>
          </w:tcPr>
          <w:p w14:paraId="2D55F49D">
            <w:pPr>
              <w:adjustRightInd/>
              <w:spacing w:line="240" w:lineRule="auto"/>
              <w:jc w:val="center"/>
              <w:rPr>
                <w:rFonts w:ascii="Times New Roman" w:hAnsi="Times New Roman"/>
                <w:sz w:val="18"/>
                <w:szCs w:val="18"/>
              </w:rPr>
            </w:pPr>
            <w:r>
              <w:rPr>
                <w:rFonts w:ascii="Times New Roman" w:hAnsi="Times New Roman"/>
                <w:sz w:val="18"/>
                <w:szCs w:val="18"/>
              </w:rPr>
              <w:t>20~28</w:t>
            </w:r>
          </w:p>
        </w:tc>
        <w:tc>
          <w:tcPr>
            <w:tcW w:w="319" w:type="pct"/>
            <w:vAlign w:val="center"/>
          </w:tcPr>
          <w:p w14:paraId="4F013B63">
            <w:pPr>
              <w:adjustRightInd/>
              <w:spacing w:line="240" w:lineRule="auto"/>
              <w:jc w:val="center"/>
              <w:rPr>
                <w:rFonts w:ascii="Times New Roman" w:hAnsi="Times New Roman"/>
                <w:sz w:val="18"/>
                <w:szCs w:val="18"/>
              </w:rPr>
            </w:pPr>
            <w:r>
              <w:rPr>
                <w:rFonts w:ascii="Times New Roman" w:hAnsi="Times New Roman"/>
                <w:sz w:val="18"/>
                <w:szCs w:val="18"/>
              </w:rPr>
              <w:t>15~20</w:t>
            </w:r>
          </w:p>
        </w:tc>
        <w:tc>
          <w:tcPr>
            <w:tcW w:w="319" w:type="pct"/>
            <w:vAlign w:val="center"/>
          </w:tcPr>
          <w:p w14:paraId="333EEDD8">
            <w:pPr>
              <w:adjustRightInd/>
              <w:spacing w:line="240" w:lineRule="auto"/>
              <w:jc w:val="center"/>
              <w:rPr>
                <w:rFonts w:ascii="Times New Roman" w:hAnsi="Times New Roman"/>
                <w:sz w:val="18"/>
                <w:szCs w:val="18"/>
              </w:rPr>
            </w:pPr>
            <w:r>
              <w:rPr>
                <w:rFonts w:ascii="Times New Roman" w:hAnsi="Times New Roman"/>
                <w:sz w:val="18"/>
                <w:szCs w:val="18"/>
              </w:rPr>
              <w:t>10~14</w:t>
            </w:r>
          </w:p>
        </w:tc>
        <w:tc>
          <w:tcPr>
            <w:tcW w:w="265" w:type="pct"/>
            <w:vAlign w:val="center"/>
          </w:tcPr>
          <w:p w14:paraId="47A16572">
            <w:pPr>
              <w:adjustRightInd/>
              <w:spacing w:line="240" w:lineRule="auto"/>
              <w:jc w:val="center"/>
              <w:rPr>
                <w:rFonts w:ascii="Times New Roman" w:hAnsi="Times New Roman"/>
                <w:sz w:val="18"/>
                <w:szCs w:val="18"/>
              </w:rPr>
            </w:pPr>
            <w:r>
              <w:rPr>
                <w:rFonts w:ascii="Times New Roman" w:hAnsi="Times New Roman"/>
                <w:sz w:val="18"/>
                <w:szCs w:val="18"/>
              </w:rPr>
              <w:t>6~10</w:t>
            </w:r>
          </w:p>
        </w:tc>
        <w:tc>
          <w:tcPr>
            <w:tcW w:w="305" w:type="pct"/>
            <w:vAlign w:val="center"/>
          </w:tcPr>
          <w:p w14:paraId="0AA0AC1E">
            <w:pPr>
              <w:adjustRightInd/>
              <w:spacing w:line="240" w:lineRule="auto"/>
              <w:jc w:val="center"/>
              <w:rPr>
                <w:rFonts w:ascii="Times New Roman" w:hAnsi="Times New Roman"/>
                <w:sz w:val="18"/>
                <w:szCs w:val="18"/>
              </w:rPr>
            </w:pPr>
            <w:r>
              <w:rPr>
                <w:rFonts w:ascii="Times New Roman" w:hAnsi="Times New Roman"/>
                <w:sz w:val="18"/>
                <w:szCs w:val="18"/>
              </w:rPr>
              <w:t>4~6</w:t>
            </w:r>
          </w:p>
        </w:tc>
      </w:tr>
      <w:tr w14:paraId="6D7C2EEA">
        <w:tblPrEx>
          <w:tblBorders>
            <w:top w:val="single" w:color="auto" w:sz="8" w:space="0"/>
            <w:left w:val="single" w:color="auto" w:sz="8" w:space="0"/>
            <w:bottom w:val="single" w:color="auto" w:sz="8" w:space="0"/>
            <w:right w:val="single" w:color="auto" w:sz="8" w:space="0"/>
            <w:insideH w:val="outset" w:color="000000" w:sz="6" w:space="0"/>
            <w:insideV w:val="outset" w:color="000000" w:sz="6" w:space="0"/>
          </w:tblBorders>
          <w:tblCellMar>
            <w:top w:w="15" w:type="dxa"/>
            <w:left w:w="15" w:type="dxa"/>
            <w:bottom w:w="15" w:type="dxa"/>
            <w:right w:w="15" w:type="dxa"/>
          </w:tblCellMar>
        </w:tblPrEx>
        <w:trPr>
          <w:trHeight w:val="340" w:hRule="atLeast"/>
          <w:jc w:val="center"/>
        </w:trPr>
        <w:tc>
          <w:tcPr>
            <w:tcW w:w="433" w:type="pct"/>
            <w:vAlign w:val="center"/>
          </w:tcPr>
          <w:p w14:paraId="7946066F">
            <w:pPr>
              <w:adjustRightInd/>
              <w:spacing w:line="240" w:lineRule="auto"/>
              <w:jc w:val="center"/>
              <w:rPr>
                <w:rFonts w:ascii="Times New Roman" w:hAnsi="Times New Roman"/>
                <w:sz w:val="18"/>
                <w:szCs w:val="18"/>
              </w:rPr>
            </w:pPr>
            <w:r>
              <w:rPr>
                <w:rFonts w:ascii="Times New Roman" w:hAnsi="Times New Roman"/>
                <w:sz w:val="18"/>
                <w:szCs w:val="18"/>
              </w:rPr>
              <w:t>AC-20</w:t>
            </w:r>
          </w:p>
        </w:tc>
        <w:tc>
          <w:tcPr>
            <w:tcW w:w="243" w:type="pct"/>
            <w:vAlign w:val="center"/>
          </w:tcPr>
          <w:p w14:paraId="2FB8F825">
            <w:pPr>
              <w:adjustRightInd/>
              <w:spacing w:line="240" w:lineRule="auto"/>
              <w:jc w:val="center"/>
              <w:rPr>
                <w:rFonts w:ascii="Times New Roman" w:hAnsi="Times New Roman"/>
                <w:sz w:val="18"/>
                <w:szCs w:val="18"/>
              </w:rPr>
            </w:pPr>
            <w:r>
              <w:rPr>
                <w:rFonts w:hint="eastAsia" w:ascii="Times New Roman" w:hAnsi="Times New Roman"/>
                <w:sz w:val="18"/>
                <w:szCs w:val="18"/>
              </w:rPr>
              <w:t>—</w:t>
            </w:r>
          </w:p>
        </w:tc>
        <w:tc>
          <w:tcPr>
            <w:tcW w:w="388" w:type="pct"/>
            <w:vAlign w:val="center"/>
          </w:tcPr>
          <w:p w14:paraId="3466800F">
            <w:pPr>
              <w:adjustRightInd/>
              <w:spacing w:line="240" w:lineRule="auto"/>
              <w:jc w:val="center"/>
              <w:rPr>
                <w:rFonts w:ascii="Times New Roman" w:hAnsi="Times New Roman"/>
                <w:sz w:val="18"/>
                <w:szCs w:val="18"/>
              </w:rPr>
            </w:pPr>
            <w:r>
              <w:rPr>
                <w:rFonts w:ascii="Times New Roman" w:hAnsi="Times New Roman"/>
                <w:sz w:val="18"/>
                <w:szCs w:val="18"/>
              </w:rPr>
              <w:t>100</w:t>
            </w:r>
          </w:p>
        </w:tc>
        <w:tc>
          <w:tcPr>
            <w:tcW w:w="388" w:type="pct"/>
            <w:vAlign w:val="center"/>
          </w:tcPr>
          <w:p w14:paraId="19CAC187">
            <w:pPr>
              <w:adjustRightInd/>
              <w:spacing w:line="240" w:lineRule="auto"/>
              <w:jc w:val="center"/>
              <w:rPr>
                <w:rFonts w:ascii="Times New Roman" w:hAnsi="Times New Roman"/>
                <w:sz w:val="18"/>
                <w:szCs w:val="18"/>
              </w:rPr>
            </w:pPr>
            <w:r>
              <w:rPr>
                <w:rFonts w:ascii="Times New Roman" w:hAnsi="Times New Roman"/>
                <w:sz w:val="18"/>
                <w:szCs w:val="18"/>
              </w:rPr>
              <w:t>90~100</w:t>
            </w:r>
          </w:p>
        </w:tc>
        <w:tc>
          <w:tcPr>
            <w:tcW w:w="327" w:type="pct"/>
            <w:vAlign w:val="center"/>
          </w:tcPr>
          <w:p w14:paraId="2E7EC0D0">
            <w:pPr>
              <w:adjustRightInd/>
              <w:spacing w:line="240" w:lineRule="auto"/>
              <w:jc w:val="center"/>
              <w:rPr>
                <w:rFonts w:ascii="Times New Roman" w:hAnsi="Times New Roman"/>
                <w:sz w:val="18"/>
                <w:szCs w:val="18"/>
              </w:rPr>
            </w:pPr>
            <w:r>
              <w:rPr>
                <w:rFonts w:ascii="Times New Roman" w:hAnsi="Times New Roman"/>
                <w:sz w:val="18"/>
                <w:szCs w:val="18"/>
              </w:rPr>
              <w:t>78~92</w:t>
            </w:r>
          </w:p>
        </w:tc>
        <w:tc>
          <w:tcPr>
            <w:tcW w:w="378" w:type="pct"/>
            <w:vAlign w:val="center"/>
          </w:tcPr>
          <w:p w14:paraId="75256D96">
            <w:pPr>
              <w:adjustRightInd/>
              <w:spacing w:line="240" w:lineRule="auto"/>
              <w:jc w:val="center"/>
              <w:rPr>
                <w:rFonts w:ascii="Times New Roman" w:hAnsi="Times New Roman"/>
                <w:sz w:val="18"/>
                <w:szCs w:val="18"/>
              </w:rPr>
            </w:pPr>
            <w:r>
              <w:rPr>
                <w:rFonts w:ascii="Times New Roman" w:hAnsi="Times New Roman"/>
                <w:sz w:val="18"/>
                <w:szCs w:val="18"/>
              </w:rPr>
              <w:t>62~80</w:t>
            </w:r>
          </w:p>
        </w:tc>
        <w:tc>
          <w:tcPr>
            <w:tcW w:w="327" w:type="pct"/>
            <w:vAlign w:val="center"/>
          </w:tcPr>
          <w:p w14:paraId="56A7478B">
            <w:pPr>
              <w:adjustRightInd/>
              <w:spacing w:line="240" w:lineRule="auto"/>
              <w:jc w:val="center"/>
              <w:rPr>
                <w:rFonts w:ascii="Times New Roman" w:hAnsi="Times New Roman"/>
                <w:sz w:val="18"/>
                <w:szCs w:val="18"/>
              </w:rPr>
            </w:pPr>
            <w:r>
              <w:rPr>
                <w:rFonts w:ascii="Times New Roman" w:hAnsi="Times New Roman"/>
                <w:sz w:val="18"/>
                <w:szCs w:val="18"/>
              </w:rPr>
              <w:t>50~72</w:t>
            </w:r>
          </w:p>
        </w:tc>
        <w:tc>
          <w:tcPr>
            <w:tcW w:w="327" w:type="pct"/>
          </w:tcPr>
          <w:p w14:paraId="4927686A">
            <w:pPr>
              <w:adjustRightInd/>
              <w:spacing w:line="240" w:lineRule="auto"/>
              <w:jc w:val="center"/>
              <w:rPr>
                <w:rFonts w:ascii="Times New Roman" w:hAnsi="Times New Roman"/>
                <w:sz w:val="18"/>
                <w:szCs w:val="18"/>
              </w:rPr>
            </w:pPr>
            <w:r>
              <w:rPr>
                <w:rFonts w:hint="eastAsia" w:ascii="Times New Roman" w:hAnsi="Times New Roman"/>
                <w:sz w:val="18"/>
                <w:szCs w:val="18"/>
              </w:rPr>
              <w:t>—</w:t>
            </w:r>
          </w:p>
        </w:tc>
        <w:tc>
          <w:tcPr>
            <w:tcW w:w="327" w:type="pct"/>
            <w:vAlign w:val="center"/>
          </w:tcPr>
          <w:p w14:paraId="64055F06">
            <w:pPr>
              <w:adjustRightInd/>
              <w:spacing w:line="240" w:lineRule="auto"/>
              <w:jc w:val="center"/>
              <w:rPr>
                <w:rFonts w:ascii="Times New Roman" w:hAnsi="Times New Roman"/>
                <w:sz w:val="18"/>
                <w:szCs w:val="18"/>
              </w:rPr>
            </w:pPr>
            <w:r>
              <w:rPr>
                <w:rFonts w:ascii="Times New Roman" w:hAnsi="Times New Roman"/>
                <w:sz w:val="18"/>
                <w:szCs w:val="18"/>
              </w:rPr>
              <w:t>26~56</w:t>
            </w:r>
          </w:p>
        </w:tc>
        <w:tc>
          <w:tcPr>
            <w:tcW w:w="327" w:type="pct"/>
            <w:vAlign w:val="center"/>
          </w:tcPr>
          <w:p w14:paraId="7B912C8A">
            <w:pPr>
              <w:adjustRightInd/>
              <w:spacing w:line="240" w:lineRule="auto"/>
              <w:jc w:val="center"/>
              <w:rPr>
                <w:rFonts w:ascii="Times New Roman" w:hAnsi="Times New Roman"/>
                <w:sz w:val="18"/>
                <w:szCs w:val="18"/>
              </w:rPr>
            </w:pPr>
            <w:r>
              <w:rPr>
                <w:rFonts w:ascii="Times New Roman" w:hAnsi="Times New Roman"/>
                <w:sz w:val="18"/>
                <w:szCs w:val="18"/>
              </w:rPr>
              <w:t>16~44</w:t>
            </w:r>
          </w:p>
        </w:tc>
        <w:tc>
          <w:tcPr>
            <w:tcW w:w="327" w:type="pct"/>
            <w:vAlign w:val="center"/>
          </w:tcPr>
          <w:p w14:paraId="49702E6E">
            <w:pPr>
              <w:adjustRightInd/>
              <w:spacing w:line="240" w:lineRule="auto"/>
              <w:jc w:val="center"/>
              <w:rPr>
                <w:rFonts w:ascii="Times New Roman" w:hAnsi="Times New Roman"/>
                <w:sz w:val="18"/>
                <w:szCs w:val="18"/>
              </w:rPr>
            </w:pPr>
            <w:r>
              <w:rPr>
                <w:rFonts w:ascii="Times New Roman" w:hAnsi="Times New Roman"/>
                <w:sz w:val="18"/>
                <w:szCs w:val="18"/>
              </w:rPr>
              <w:t>12~33</w:t>
            </w:r>
          </w:p>
        </w:tc>
        <w:tc>
          <w:tcPr>
            <w:tcW w:w="319" w:type="pct"/>
            <w:vAlign w:val="center"/>
          </w:tcPr>
          <w:p w14:paraId="4FA39A36">
            <w:pPr>
              <w:adjustRightInd/>
              <w:spacing w:line="240" w:lineRule="auto"/>
              <w:jc w:val="center"/>
              <w:rPr>
                <w:rFonts w:ascii="Times New Roman" w:hAnsi="Times New Roman"/>
                <w:sz w:val="18"/>
                <w:szCs w:val="18"/>
              </w:rPr>
            </w:pPr>
            <w:r>
              <w:rPr>
                <w:rFonts w:ascii="Times New Roman" w:hAnsi="Times New Roman"/>
                <w:sz w:val="18"/>
                <w:szCs w:val="18"/>
              </w:rPr>
              <w:t>8~24</w:t>
            </w:r>
          </w:p>
        </w:tc>
        <w:tc>
          <w:tcPr>
            <w:tcW w:w="319" w:type="pct"/>
            <w:vAlign w:val="center"/>
          </w:tcPr>
          <w:p w14:paraId="4438C93F">
            <w:pPr>
              <w:adjustRightInd/>
              <w:spacing w:line="240" w:lineRule="auto"/>
              <w:jc w:val="center"/>
              <w:rPr>
                <w:rFonts w:ascii="Times New Roman" w:hAnsi="Times New Roman"/>
                <w:sz w:val="18"/>
                <w:szCs w:val="18"/>
              </w:rPr>
            </w:pPr>
            <w:r>
              <w:rPr>
                <w:rFonts w:ascii="Times New Roman" w:hAnsi="Times New Roman"/>
                <w:sz w:val="18"/>
                <w:szCs w:val="18"/>
              </w:rPr>
              <w:t>5~17</w:t>
            </w:r>
          </w:p>
        </w:tc>
        <w:tc>
          <w:tcPr>
            <w:tcW w:w="265" w:type="pct"/>
            <w:vAlign w:val="center"/>
          </w:tcPr>
          <w:p w14:paraId="0CF20717">
            <w:pPr>
              <w:adjustRightInd/>
              <w:spacing w:line="240" w:lineRule="auto"/>
              <w:jc w:val="center"/>
              <w:rPr>
                <w:rFonts w:ascii="Times New Roman" w:hAnsi="Times New Roman"/>
                <w:sz w:val="18"/>
                <w:szCs w:val="18"/>
              </w:rPr>
            </w:pPr>
            <w:r>
              <w:rPr>
                <w:rFonts w:ascii="Times New Roman" w:hAnsi="Times New Roman"/>
                <w:sz w:val="18"/>
                <w:szCs w:val="18"/>
              </w:rPr>
              <w:t>4~13</w:t>
            </w:r>
          </w:p>
        </w:tc>
        <w:tc>
          <w:tcPr>
            <w:tcW w:w="305" w:type="pct"/>
            <w:vAlign w:val="center"/>
          </w:tcPr>
          <w:p w14:paraId="64729D02">
            <w:pPr>
              <w:adjustRightInd/>
              <w:spacing w:line="240" w:lineRule="auto"/>
              <w:jc w:val="center"/>
              <w:rPr>
                <w:rFonts w:ascii="Times New Roman" w:hAnsi="Times New Roman"/>
                <w:sz w:val="18"/>
                <w:szCs w:val="18"/>
              </w:rPr>
            </w:pPr>
            <w:r>
              <w:rPr>
                <w:rFonts w:ascii="Times New Roman" w:hAnsi="Times New Roman"/>
                <w:sz w:val="18"/>
                <w:szCs w:val="18"/>
              </w:rPr>
              <w:t>3~7</w:t>
            </w:r>
          </w:p>
        </w:tc>
      </w:tr>
      <w:tr w14:paraId="29B2CD8C">
        <w:tblPrEx>
          <w:tblBorders>
            <w:top w:val="single" w:color="auto" w:sz="8" w:space="0"/>
            <w:left w:val="single" w:color="auto" w:sz="8" w:space="0"/>
            <w:bottom w:val="single" w:color="auto" w:sz="8" w:space="0"/>
            <w:right w:val="single" w:color="auto" w:sz="8" w:space="0"/>
            <w:insideH w:val="outset" w:color="000000" w:sz="6" w:space="0"/>
            <w:insideV w:val="outset" w:color="000000" w:sz="6" w:space="0"/>
          </w:tblBorders>
          <w:tblCellMar>
            <w:top w:w="15" w:type="dxa"/>
            <w:left w:w="15" w:type="dxa"/>
            <w:bottom w:w="15" w:type="dxa"/>
            <w:right w:w="15" w:type="dxa"/>
          </w:tblCellMar>
        </w:tblPrEx>
        <w:trPr>
          <w:trHeight w:val="340" w:hRule="atLeast"/>
          <w:jc w:val="center"/>
        </w:trPr>
        <w:tc>
          <w:tcPr>
            <w:tcW w:w="433" w:type="pct"/>
            <w:vAlign w:val="center"/>
          </w:tcPr>
          <w:p w14:paraId="7FC69AC6">
            <w:pPr>
              <w:adjustRightInd/>
              <w:spacing w:line="240" w:lineRule="auto"/>
              <w:jc w:val="center"/>
              <w:rPr>
                <w:rFonts w:ascii="Times New Roman" w:hAnsi="Times New Roman"/>
                <w:sz w:val="18"/>
                <w:szCs w:val="18"/>
              </w:rPr>
            </w:pPr>
            <w:r>
              <w:rPr>
                <w:rFonts w:ascii="Times New Roman" w:hAnsi="Times New Roman"/>
                <w:sz w:val="18"/>
                <w:szCs w:val="18"/>
              </w:rPr>
              <w:t>AC-25</w:t>
            </w:r>
          </w:p>
        </w:tc>
        <w:tc>
          <w:tcPr>
            <w:tcW w:w="243" w:type="pct"/>
            <w:vAlign w:val="center"/>
          </w:tcPr>
          <w:p w14:paraId="0849CCE2">
            <w:pPr>
              <w:adjustRightInd/>
              <w:spacing w:line="240" w:lineRule="auto"/>
              <w:jc w:val="center"/>
              <w:rPr>
                <w:rFonts w:ascii="Times New Roman" w:hAnsi="Times New Roman"/>
                <w:sz w:val="18"/>
                <w:szCs w:val="18"/>
              </w:rPr>
            </w:pPr>
            <w:r>
              <w:rPr>
                <w:rFonts w:ascii="Times New Roman" w:hAnsi="Times New Roman"/>
                <w:sz w:val="18"/>
                <w:szCs w:val="18"/>
              </w:rPr>
              <w:t>100</w:t>
            </w:r>
          </w:p>
        </w:tc>
        <w:tc>
          <w:tcPr>
            <w:tcW w:w="388" w:type="pct"/>
            <w:vAlign w:val="center"/>
          </w:tcPr>
          <w:p w14:paraId="71861F9F">
            <w:pPr>
              <w:adjustRightInd/>
              <w:spacing w:line="240" w:lineRule="auto"/>
              <w:jc w:val="center"/>
              <w:rPr>
                <w:rFonts w:ascii="Times New Roman" w:hAnsi="Times New Roman"/>
                <w:sz w:val="18"/>
                <w:szCs w:val="18"/>
              </w:rPr>
            </w:pPr>
            <w:r>
              <w:rPr>
                <w:rFonts w:ascii="Times New Roman" w:hAnsi="Times New Roman"/>
                <w:sz w:val="18"/>
                <w:szCs w:val="18"/>
              </w:rPr>
              <w:t>90~100</w:t>
            </w:r>
          </w:p>
        </w:tc>
        <w:tc>
          <w:tcPr>
            <w:tcW w:w="388" w:type="pct"/>
            <w:vAlign w:val="center"/>
          </w:tcPr>
          <w:p w14:paraId="416359A7">
            <w:pPr>
              <w:adjustRightInd/>
              <w:spacing w:line="240" w:lineRule="auto"/>
              <w:jc w:val="center"/>
              <w:rPr>
                <w:rFonts w:ascii="Times New Roman" w:hAnsi="Times New Roman"/>
                <w:sz w:val="18"/>
                <w:szCs w:val="18"/>
              </w:rPr>
            </w:pPr>
            <w:r>
              <w:rPr>
                <w:rFonts w:ascii="Times New Roman" w:hAnsi="Times New Roman"/>
                <w:sz w:val="18"/>
                <w:szCs w:val="18"/>
              </w:rPr>
              <w:t>75~90</w:t>
            </w:r>
          </w:p>
        </w:tc>
        <w:tc>
          <w:tcPr>
            <w:tcW w:w="327" w:type="pct"/>
            <w:vAlign w:val="center"/>
          </w:tcPr>
          <w:p w14:paraId="70FD731D">
            <w:pPr>
              <w:adjustRightInd/>
              <w:spacing w:line="240" w:lineRule="auto"/>
              <w:jc w:val="center"/>
              <w:rPr>
                <w:rFonts w:ascii="Times New Roman" w:hAnsi="Times New Roman"/>
                <w:sz w:val="18"/>
                <w:szCs w:val="18"/>
              </w:rPr>
            </w:pPr>
            <w:r>
              <w:rPr>
                <w:rFonts w:ascii="Times New Roman" w:hAnsi="Times New Roman"/>
                <w:sz w:val="18"/>
                <w:szCs w:val="18"/>
              </w:rPr>
              <w:t>65~83</w:t>
            </w:r>
          </w:p>
        </w:tc>
        <w:tc>
          <w:tcPr>
            <w:tcW w:w="378" w:type="pct"/>
            <w:vAlign w:val="center"/>
          </w:tcPr>
          <w:p w14:paraId="4CE2DEE3">
            <w:pPr>
              <w:adjustRightInd/>
              <w:spacing w:line="240" w:lineRule="auto"/>
              <w:jc w:val="center"/>
              <w:rPr>
                <w:rFonts w:ascii="Times New Roman" w:hAnsi="Times New Roman"/>
                <w:sz w:val="18"/>
                <w:szCs w:val="18"/>
              </w:rPr>
            </w:pPr>
            <w:r>
              <w:rPr>
                <w:rFonts w:ascii="Times New Roman" w:hAnsi="Times New Roman"/>
                <w:sz w:val="18"/>
                <w:szCs w:val="18"/>
              </w:rPr>
              <w:t>57~76</w:t>
            </w:r>
          </w:p>
        </w:tc>
        <w:tc>
          <w:tcPr>
            <w:tcW w:w="327" w:type="pct"/>
            <w:vAlign w:val="center"/>
          </w:tcPr>
          <w:p w14:paraId="3862CA07">
            <w:pPr>
              <w:adjustRightInd/>
              <w:spacing w:line="240" w:lineRule="auto"/>
              <w:jc w:val="center"/>
              <w:rPr>
                <w:rFonts w:ascii="Times New Roman" w:hAnsi="Times New Roman"/>
                <w:sz w:val="18"/>
                <w:szCs w:val="18"/>
              </w:rPr>
            </w:pPr>
            <w:r>
              <w:rPr>
                <w:rFonts w:ascii="Times New Roman" w:hAnsi="Times New Roman"/>
                <w:sz w:val="18"/>
                <w:szCs w:val="18"/>
              </w:rPr>
              <w:t>45~65</w:t>
            </w:r>
          </w:p>
        </w:tc>
        <w:tc>
          <w:tcPr>
            <w:tcW w:w="327" w:type="pct"/>
          </w:tcPr>
          <w:p w14:paraId="2C7A937B">
            <w:pPr>
              <w:adjustRightInd/>
              <w:spacing w:line="240" w:lineRule="auto"/>
              <w:jc w:val="center"/>
              <w:rPr>
                <w:rFonts w:ascii="Times New Roman" w:hAnsi="Times New Roman"/>
                <w:sz w:val="18"/>
                <w:szCs w:val="18"/>
              </w:rPr>
            </w:pPr>
            <w:r>
              <w:rPr>
                <w:rFonts w:hint="eastAsia" w:ascii="Times New Roman" w:hAnsi="Times New Roman"/>
                <w:sz w:val="18"/>
                <w:szCs w:val="18"/>
              </w:rPr>
              <w:t>—</w:t>
            </w:r>
          </w:p>
        </w:tc>
        <w:tc>
          <w:tcPr>
            <w:tcW w:w="327" w:type="pct"/>
            <w:vAlign w:val="center"/>
          </w:tcPr>
          <w:p w14:paraId="6EBD65D8">
            <w:pPr>
              <w:adjustRightInd/>
              <w:spacing w:line="240" w:lineRule="auto"/>
              <w:jc w:val="center"/>
              <w:rPr>
                <w:rFonts w:ascii="Times New Roman" w:hAnsi="Times New Roman"/>
                <w:sz w:val="18"/>
                <w:szCs w:val="18"/>
              </w:rPr>
            </w:pPr>
            <w:r>
              <w:rPr>
                <w:rFonts w:ascii="Times New Roman" w:hAnsi="Times New Roman"/>
                <w:sz w:val="18"/>
                <w:szCs w:val="18"/>
              </w:rPr>
              <w:t>24~52</w:t>
            </w:r>
          </w:p>
        </w:tc>
        <w:tc>
          <w:tcPr>
            <w:tcW w:w="327" w:type="pct"/>
            <w:vAlign w:val="center"/>
          </w:tcPr>
          <w:p w14:paraId="35727B35">
            <w:pPr>
              <w:adjustRightInd/>
              <w:spacing w:line="240" w:lineRule="auto"/>
              <w:jc w:val="center"/>
              <w:rPr>
                <w:rFonts w:ascii="Times New Roman" w:hAnsi="Times New Roman"/>
                <w:sz w:val="18"/>
                <w:szCs w:val="18"/>
              </w:rPr>
            </w:pPr>
            <w:r>
              <w:rPr>
                <w:rFonts w:ascii="Times New Roman" w:hAnsi="Times New Roman"/>
                <w:sz w:val="18"/>
                <w:szCs w:val="18"/>
              </w:rPr>
              <w:t>16~42</w:t>
            </w:r>
          </w:p>
        </w:tc>
        <w:tc>
          <w:tcPr>
            <w:tcW w:w="327" w:type="pct"/>
            <w:vAlign w:val="center"/>
          </w:tcPr>
          <w:p w14:paraId="3D4716CB">
            <w:pPr>
              <w:adjustRightInd/>
              <w:spacing w:line="240" w:lineRule="auto"/>
              <w:jc w:val="center"/>
              <w:rPr>
                <w:rFonts w:ascii="Times New Roman" w:hAnsi="Times New Roman"/>
                <w:sz w:val="18"/>
                <w:szCs w:val="18"/>
              </w:rPr>
            </w:pPr>
            <w:r>
              <w:rPr>
                <w:rFonts w:ascii="Times New Roman" w:hAnsi="Times New Roman"/>
                <w:sz w:val="18"/>
                <w:szCs w:val="18"/>
              </w:rPr>
              <w:t>12~33</w:t>
            </w:r>
          </w:p>
        </w:tc>
        <w:tc>
          <w:tcPr>
            <w:tcW w:w="319" w:type="pct"/>
            <w:vAlign w:val="center"/>
          </w:tcPr>
          <w:p w14:paraId="1C8C9022">
            <w:pPr>
              <w:adjustRightInd/>
              <w:spacing w:line="240" w:lineRule="auto"/>
              <w:jc w:val="center"/>
              <w:rPr>
                <w:rFonts w:ascii="Times New Roman" w:hAnsi="Times New Roman"/>
                <w:sz w:val="18"/>
                <w:szCs w:val="18"/>
              </w:rPr>
            </w:pPr>
            <w:r>
              <w:rPr>
                <w:rFonts w:ascii="Times New Roman" w:hAnsi="Times New Roman"/>
                <w:sz w:val="18"/>
                <w:szCs w:val="18"/>
              </w:rPr>
              <w:t>8~24</w:t>
            </w:r>
          </w:p>
        </w:tc>
        <w:tc>
          <w:tcPr>
            <w:tcW w:w="319" w:type="pct"/>
            <w:vAlign w:val="center"/>
          </w:tcPr>
          <w:p w14:paraId="0B5618B0">
            <w:pPr>
              <w:adjustRightInd/>
              <w:spacing w:line="240" w:lineRule="auto"/>
              <w:jc w:val="center"/>
              <w:rPr>
                <w:rFonts w:ascii="Times New Roman" w:hAnsi="Times New Roman"/>
                <w:sz w:val="18"/>
                <w:szCs w:val="18"/>
              </w:rPr>
            </w:pPr>
            <w:r>
              <w:rPr>
                <w:rFonts w:ascii="Times New Roman" w:hAnsi="Times New Roman"/>
                <w:sz w:val="18"/>
                <w:szCs w:val="18"/>
              </w:rPr>
              <w:t>5~17</w:t>
            </w:r>
          </w:p>
        </w:tc>
        <w:tc>
          <w:tcPr>
            <w:tcW w:w="265" w:type="pct"/>
            <w:vAlign w:val="center"/>
          </w:tcPr>
          <w:p w14:paraId="68F977CD">
            <w:pPr>
              <w:adjustRightInd/>
              <w:spacing w:line="240" w:lineRule="auto"/>
              <w:jc w:val="center"/>
              <w:rPr>
                <w:rFonts w:ascii="Times New Roman" w:hAnsi="Times New Roman"/>
                <w:sz w:val="18"/>
                <w:szCs w:val="18"/>
              </w:rPr>
            </w:pPr>
            <w:r>
              <w:rPr>
                <w:rFonts w:ascii="Times New Roman" w:hAnsi="Times New Roman"/>
                <w:sz w:val="18"/>
                <w:szCs w:val="18"/>
              </w:rPr>
              <w:t>4~13</w:t>
            </w:r>
          </w:p>
        </w:tc>
        <w:tc>
          <w:tcPr>
            <w:tcW w:w="305" w:type="pct"/>
            <w:vAlign w:val="center"/>
          </w:tcPr>
          <w:p w14:paraId="270DACB1">
            <w:pPr>
              <w:adjustRightInd/>
              <w:spacing w:line="240" w:lineRule="auto"/>
              <w:jc w:val="center"/>
              <w:rPr>
                <w:rFonts w:ascii="Times New Roman" w:hAnsi="Times New Roman"/>
                <w:sz w:val="18"/>
                <w:szCs w:val="18"/>
              </w:rPr>
            </w:pPr>
            <w:r>
              <w:rPr>
                <w:rFonts w:ascii="Times New Roman" w:hAnsi="Times New Roman"/>
                <w:sz w:val="18"/>
                <w:szCs w:val="18"/>
              </w:rPr>
              <w:t>3~7</w:t>
            </w:r>
          </w:p>
        </w:tc>
      </w:tr>
    </w:tbl>
    <w:p w14:paraId="4B910196">
      <w:pPr>
        <w:pStyle w:val="110"/>
        <w:spacing w:before="156" w:after="156"/>
      </w:pPr>
      <w:bookmarkStart w:id="63" w:name="_Toc15530"/>
      <w:r>
        <w:rPr>
          <w:rFonts w:hint="eastAsia"/>
        </w:rPr>
        <w:t>技术要求</w:t>
      </w:r>
      <w:bookmarkEnd w:id="63"/>
    </w:p>
    <w:p w14:paraId="12C4BE29">
      <w:pPr>
        <w:pStyle w:val="70"/>
        <w:spacing w:before="156" w:after="156"/>
        <w:rPr>
          <w:rFonts w:ascii="宋体" w:hAnsi="宋体" w:eastAsia="宋体"/>
        </w:rPr>
      </w:pPr>
      <w:r>
        <w:rPr>
          <w:rFonts w:hint="eastAsia" w:ascii="宋体" w:hAnsi="宋体" w:eastAsia="宋体"/>
        </w:rPr>
        <w:t>AC、S</w:t>
      </w:r>
      <w:r>
        <w:rPr>
          <w:rFonts w:ascii="宋体" w:hAnsi="宋体" w:eastAsia="宋体"/>
        </w:rPr>
        <w:t>MA</w:t>
      </w:r>
      <w:r>
        <w:rPr>
          <w:rFonts w:hint="eastAsia" w:ascii="宋体" w:hAnsi="宋体" w:eastAsia="宋体"/>
        </w:rPr>
        <w:t>等类型沥青混合料的技术要求应符合JTG F40中的技术要求。</w:t>
      </w:r>
    </w:p>
    <w:p w14:paraId="5D0348AF">
      <w:pPr>
        <w:pStyle w:val="70"/>
        <w:spacing w:before="156" w:after="156"/>
        <w:rPr>
          <w:rFonts w:ascii="宋体" w:hAnsi="宋体" w:eastAsia="宋体"/>
        </w:rPr>
      </w:pPr>
      <w:r>
        <w:rPr>
          <w:rFonts w:hint="eastAsia" w:ascii="宋体" w:hAnsi="宋体" w:eastAsia="宋体"/>
        </w:rPr>
        <w:t>环保稳定型胶粉改性沥青混合料应符合</w:t>
      </w:r>
      <w:r>
        <w:rPr>
          <w:rFonts w:ascii="宋体" w:hAnsi="宋体" w:eastAsia="宋体"/>
        </w:rPr>
        <w:t>DB37/T 4382</w:t>
      </w:r>
      <w:r>
        <w:rPr>
          <w:rFonts w:hint="eastAsia" w:ascii="宋体" w:hAnsi="宋体" w:eastAsia="宋体"/>
        </w:rPr>
        <w:t>中的技术要求，抗车辙抗疲劳高模量沥青混合料应符合</w:t>
      </w:r>
      <w:r>
        <w:rPr>
          <w:rFonts w:ascii="宋体" w:hAnsi="宋体" w:eastAsia="宋体"/>
        </w:rPr>
        <w:t>DB37/T 3564</w:t>
      </w:r>
      <w:r>
        <w:rPr>
          <w:rFonts w:hint="eastAsia" w:ascii="宋体" w:hAnsi="宋体" w:eastAsia="宋体"/>
        </w:rPr>
        <w:t>中的技术要求。</w:t>
      </w:r>
    </w:p>
    <w:p w14:paraId="74213CE5">
      <w:pPr>
        <w:pStyle w:val="109"/>
        <w:spacing w:before="312" w:after="312"/>
      </w:pPr>
      <w:bookmarkStart w:id="64" w:name="_Toc143676620"/>
      <w:bookmarkStart w:id="65" w:name="_Toc22863"/>
      <w:r>
        <w:rPr>
          <w:rFonts w:hint="eastAsia"/>
        </w:rPr>
        <w:t>施工</w:t>
      </w:r>
      <w:bookmarkEnd w:id="64"/>
      <w:bookmarkEnd w:id="65"/>
    </w:p>
    <w:p w14:paraId="019EF077">
      <w:pPr>
        <w:pStyle w:val="110"/>
        <w:spacing w:before="156" w:after="156"/>
      </w:pPr>
      <w:bookmarkStart w:id="66" w:name="_Toc27439"/>
      <w:r>
        <w:rPr>
          <w:rFonts w:hint="eastAsia"/>
        </w:rPr>
        <w:t>施工前准备</w:t>
      </w:r>
      <w:bookmarkEnd w:id="66"/>
    </w:p>
    <w:p w14:paraId="1C43BC49">
      <w:pPr>
        <w:pStyle w:val="170"/>
      </w:pPr>
      <w:r>
        <w:rPr>
          <w:rFonts w:hint="eastAsia"/>
        </w:rPr>
        <w:t>净味沥青混合料施工前应按照JTG F40中的相关规定对使用批次的原材料进行检验。</w:t>
      </w:r>
    </w:p>
    <w:p w14:paraId="18991D5E">
      <w:pPr>
        <w:pStyle w:val="170"/>
      </w:pPr>
      <w:r>
        <w:rPr>
          <w:rFonts w:hint="eastAsia"/>
        </w:rPr>
        <w:t>净味沥青混合料的施工准备、试验路铺筑、施工工艺、设备应符合JTG F40中</w:t>
      </w:r>
      <w:r>
        <w:rPr>
          <w:rFonts w:hint="eastAsia" w:hAnsi="宋体"/>
        </w:rPr>
        <w:t>的技术要求</w:t>
      </w:r>
      <w:r>
        <w:rPr>
          <w:rFonts w:hint="eastAsia"/>
        </w:rPr>
        <w:t>。</w:t>
      </w:r>
    </w:p>
    <w:p w14:paraId="6D87A044">
      <w:pPr>
        <w:pStyle w:val="110"/>
        <w:spacing w:before="156" w:after="156"/>
      </w:pPr>
      <w:bookmarkStart w:id="67" w:name="_Toc20564"/>
      <w:bookmarkStart w:id="68" w:name="_Toc143676622"/>
      <w:r>
        <w:rPr>
          <w:rFonts w:hint="eastAsia"/>
        </w:rPr>
        <w:t>场站储存</w:t>
      </w:r>
      <w:bookmarkEnd w:id="67"/>
      <w:bookmarkEnd w:id="68"/>
    </w:p>
    <w:p w14:paraId="34898118">
      <w:pPr>
        <w:pStyle w:val="170"/>
      </w:pPr>
      <w:r>
        <w:rPr>
          <w:rFonts w:hint="eastAsia"/>
        </w:rPr>
        <w:t>使用净味剂生产净味沥青时，宜在固定工厂集中加工。如具备加工设备和现场生产条件，也可在拌和厂（场、站）生产。</w:t>
      </w:r>
    </w:p>
    <w:p w14:paraId="3DC2DAA0">
      <w:pPr>
        <w:pStyle w:val="170"/>
      </w:pPr>
      <w:r>
        <w:rPr>
          <w:rFonts w:hint="eastAsia"/>
        </w:rPr>
        <w:t>净味沥青应储存在具有搅拌和加热装置的沥青罐中。施工过程中净味沥青宜采取现加工现用的原则，如因特殊原因需临时存储，</w:t>
      </w:r>
      <w:bookmarkStart w:id="69" w:name="_Hlk182226079"/>
      <w:r>
        <w:rPr>
          <w:rFonts w:hint="eastAsia"/>
        </w:rPr>
        <w:t>储存时间应控制在5d之内，</w:t>
      </w:r>
      <w:bookmarkEnd w:id="69"/>
      <w:r>
        <w:rPr>
          <w:rFonts w:hint="eastAsia"/>
        </w:rPr>
        <w:t>使用前应搅拌均匀。</w:t>
      </w:r>
    </w:p>
    <w:p w14:paraId="1BF6EB85">
      <w:pPr>
        <w:pStyle w:val="170"/>
      </w:pPr>
      <w:r>
        <w:rPr>
          <w:rFonts w:hint="eastAsia"/>
        </w:rPr>
        <w:t>净味沥青产品应按照不同料源、品种、规格分类，在阴凉、通风、干燥条件下封装储存，防止出现环境污染。</w:t>
      </w:r>
    </w:p>
    <w:p w14:paraId="77A714AC">
      <w:pPr>
        <w:pStyle w:val="110"/>
        <w:spacing w:before="156" w:after="156"/>
      </w:pPr>
      <w:bookmarkStart w:id="70" w:name="_Toc143676623"/>
      <w:bookmarkStart w:id="71" w:name="_Toc6664"/>
      <w:r>
        <w:rPr>
          <w:rFonts w:hint="eastAsia"/>
        </w:rPr>
        <w:t>施工温度</w:t>
      </w:r>
      <w:bookmarkEnd w:id="70"/>
      <w:bookmarkEnd w:id="71"/>
    </w:p>
    <w:p w14:paraId="13BCEAFB">
      <w:pPr>
        <w:pStyle w:val="170"/>
        <w:numPr>
          <w:ilvl w:val="0"/>
          <w:numId w:val="0"/>
        </w:numPr>
        <w:ind w:firstLine="420" w:firstLineChars="200"/>
      </w:pPr>
      <w:r>
        <w:rPr>
          <w:rFonts w:hint="eastAsia"/>
        </w:rPr>
        <w:t>净味沥青混合料施工温度应符合表</w:t>
      </w:r>
      <w:r>
        <w:t>3</w:t>
      </w:r>
      <w:r>
        <w:rPr>
          <w:rFonts w:hint="eastAsia"/>
        </w:rPr>
        <w:t>中的技术要求，环保稳定型胶粉改性沥青混合料施工温度应符合DB37/T 4382中的技术要求。</w:t>
      </w:r>
    </w:p>
    <w:p w14:paraId="0A2D2B77">
      <w:pPr>
        <w:widowControl/>
        <w:adjustRightInd/>
        <w:spacing w:line="240" w:lineRule="auto"/>
        <w:jc w:val="left"/>
        <w:rPr>
          <w:rFonts w:ascii="黑体" w:hAnsi="Times New Roman" w:eastAsia="黑体"/>
          <w:kern w:val="0"/>
          <w:szCs w:val="20"/>
        </w:rPr>
      </w:pPr>
      <w:r>
        <w:br w:type="page"/>
      </w:r>
    </w:p>
    <w:p w14:paraId="16FBF52D">
      <w:pPr>
        <w:pStyle w:val="117"/>
        <w:numPr>
          <w:ilvl w:val="0"/>
          <w:numId w:val="31"/>
        </w:numPr>
        <w:spacing w:before="156" w:after="156"/>
      </w:pPr>
      <w:r>
        <w:rPr>
          <w:rFonts w:hint="eastAsia"/>
        </w:rPr>
        <w:t>净味沥青混合料施工温度</w:t>
      </w:r>
    </w:p>
    <w:p w14:paraId="2303599D">
      <w:pPr>
        <w:pStyle w:val="61"/>
        <w:ind w:firstLine="420"/>
        <w:jc w:val="right"/>
      </w:pPr>
      <w:r>
        <w:rPr>
          <w:rFonts w:hint="eastAsia"/>
        </w:rPr>
        <w:t>单位为摄氏度</w:t>
      </w:r>
    </w:p>
    <w:tbl>
      <w:tblPr>
        <w:tblStyle w:val="29"/>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413"/>
        <w:gridCol w:w="1494"/>
        <w:gridCol w:w="1819"/>
        <w:gridCol w:w="1658"/>
        <w:gridCol w:w="1490"/>
      </w:tblGrid>
      <w:tr w14:paraId="6FE0ED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86" w:type="pct"/>
            <w:vMerge w:val="restart"/>
            <w:vAlign w:val="center"/>
          </w:tcPr>
          <w:p w14:paraId="2E1875F0">
            <w:pPr>
              <w:snapToGrid w:val="0"/>
              <w:spacing w:line="240" w:lineRule="auto"/>
              <w:jc w:val="center"/>
              <w:rPr>
                <w:rFonts w:ascii="宋体" w:hAnsi="宋体"/>
                <w:sz w:val="18"/>
                <w:szCs w:val="18"/>
              </w:rPr>
            </w:pPr>
            <w:r>
              <w:rPr>
                <w:rFonts w:ascii="宋体" w:hAnsi="宋体"/>
                <w:sz w:val="18"/>
                <w:szCs w:val="18"/>
              </w:rPr>
              <w:t>工序</w:t>
            </w:r>
          </w:p>
        </w:tc>
        <w:tc>
          <w:tcPr>
            <w:tcW w:w="3334" w:type="pct"/>
            <w:gridSpan w:val="4"/>
            <w:vAlign w:val="center"/>
          </w:tcPr>
          <w:p w14:paraId="7B68BEC5">
            <w:pPr>
              <w:snapToGrid w:val="0"/>
              <w:spacing w:line="240" w:lineRule="auto"/>
              <w:jc w:val="center"/>
              <w:rPr>
                <w:rFonts w:ascii="宋体" w:hAnsi="宋体"/>
                <w:sz w:val="18"/>
                <w:szCs w:val="18"/>
                <w:vertAlign w:val="superscript"/>
              </w:rPr>
            </w:pPr>
            <w:r>
              <w:rPr>
                <w:rFonts w:ascii="宋体" w:hAnsi="宋体"/>
                <w:sz w:val="18"/>
                <w:szCs w:val="18"/>
              </w:rPr>
              <w:t>施工温度</w:t>
            </w:r>
          </w:p>
        </w:tc>
        <w:tc>
          <w:tcPr>
            <w:tcW w:w="778" w:type="pct"/>
            <w:vMerge w:val="restart"/>
            <w:vAlign w:val="center"/>
          </w:tcPr>
          <w:p w14:paraId="7461685A">
            <w:pPr>
              <w:snapToGrid w:val="0"/>
              <w:spacing w:line="240" w:lineRule="auto"/>
              <w:jc w:val="center"/>
              <w:rPr>
                <w:rFonts w:ascii="宋体" w:hAnsi="宋体"/>
                <w:sz w:val="18"/>
                <w:szCs w:val="18"/>
              </w:rPr>
            </w:pPr>
            <w:r>
              <w:rPr>
                <w:rFonts w:ascii="宋体" w:hAnsi="宋体"/>
                <w:sz w:val="18"/>
                <w:szCs w:val="18"/>
              </w:rPr>
              <w:t>测量部位</w:t>
            </w:r>
          </w:p>
        </w:tc>
      </w:tr>
      <w:tr w14:paraId="035F33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86" w:type="pct"/>
            <w:vMerge w:val="continue"/>
            <w:vAlign w:val="center"/>
          </w:tcPr>
          <w:p w14:paraId="5F39AE56">
            <w:pPr>
              <w:snapToGrid w:val="0"/>
              <w:spacing w:line="240" w:lineRule="auto"/>
              <w:jc w:val="center"/>
              <w:rPr>
                <w:rFonts w:ascii="宋体" w:hAnsi="宋体"/>
                <w:sz w:val="18"/>
                <w:szCs w:val="18"/>
              </w:rPr>
            </w:pPr>
          </w:p>
        </w:tc>
        <w:tc>
          <w:tcPr>
            <w:tcW w:w="738" w:type="pct"/>
            <w:vAlign w:val="center"/>
          </w:tcPr>
          <w:p w14:paraId="32EFD8E3">
            <w:pPr>
              <w:snapToGrid w:val="0"/>
              <w:spacing w:line="240" w:lineRule="auto"/>
              <w:jc w:val="center"/>
              <w:rPr>
                <w:rFonts w:ascii="宋体" w:hAnsi="宋体"/>
                <w:sz w:val="18"/>
                <w:szCs w:val="18"/>
              </w:rPr>
            </w:pPr>
            <w:r>
              <w:rPr>
                <w:rFonts w:hint="eastAsia" w:ascii="宋体" w:hAnsi="宋体"/>
                <w:sz w:val="18"/>
                <w:szCs w:val="18"/>
              </w:rPr>
              <w:t>净味道路石油沥青混合料</w:t>
            </w:r>
          </w:p>
        </w:tc>
        <w:tc>
          <w:tcPr>
            <w:tcW w:w="780" w:type="pct"/>
            <w:vAlign w:val="center"/>
          </w:tcPr>
          <w:p w14:paraId="175E1B57">
            <w:pPr>
              <w:snapToGrid w:val="0"/>
              <w:spacing w:line="240" w:lineRule="auto"/>
              <w:jc w:val="center"/>
              <w:rPr>
                <w:rFonts w:ascii="宋体" w:hAnsi="宋体"/>
                <w:sz w:val="18"/>
                <w:szCs w:val="18"/>
              </w:rPr>
            </w:pPr>
            <w:r>
              <w:rPr>
                <w:rFonts w:hint="eastAsia" w:ascii="宋体" w:hAnsi="宋体"/>
                <w:sz w:val="18"/>
                <w:szCs w:val="18"/>
              </w:rPr>
              <w:t>净味SBS改性</w:t>
            </w:r>
          </w:p>
          <w:p w14:paraId="6347C625">
            <w:pPr>
              <w:snapToGrid w:val="0"/>
              <w:spacing w:line="240" w:lineRule="auto"/>
              <w:jc w:val="center"/>
              <w:rPr>
                <w:rFonts w:ascii="宋体" w:hAnsi="宋体"/>
                <w:sz w:val="18"/>
                <w:szCs w:val="18"/>
              </w:rPr>
            </w:pPr>
            <w:r>
              <w:rPr>
                <w:rFonts w:hint="eastAsia" w:ascii="宋体" w:hAnsi="宋体"/>
                <w:sz w:val="18"/>
                <w:szCs w:val="18"/>
              </w:rPr>
              <w:t>沥青混合料</w:t>
            </w:r>
          </w:p>
        </w:tc>
        <w:tc>
          <w:tcPr>
            <w:tcW w:w="950" w:type="pct"/>
            <w:vAlign w:val="center"/>
          </w:tcPr>
          <w:p w14:paraId="2BE53D1B">
            <w:pPr>
              <w:snapToGrid w:val="0"/>
              <w:spacing w:line="240" w:lineRule="auto"/>
              <w:jc w:val="center"/>
              <w:rPr>
                <w:rFonts w:ascii="宋体" w:hAnsi="宋体"/>
                <w:sz w:val="18"/>
                <w:szCs w:val="18"/>
              </w:rPr>
            </w:pPr>
            <w:r>
              <w:rPr>
                <w:rFonts w:hint="eastAsia" w:ascii="宋体" w:hAnsi="宋体"/>
                <w:sz w:val="18"/>
                <w:szCs w:val="18"/>
              </w:rPr>
              <w:t>净味橡胶沥青</w:t>
            </w:r>
          </w:p>
          <w:p w14:paraId="3DF18B67">
            <w:pPr>
              <w:snapToGrid w:val="0"/>
              <w:spacing w:line="240" w:lineRule="auto"/>
              <w:jc w:val="center"/>
              <w:rPr>
                <w:rFonts w:ascii="宋体" w:hAnsi="宋体"/>
                <w:sz w:val="18"/>
                <w:szCs w:val="18"/>
              </w:rPr>
            </w:pPr>
            <w:r>
              <w:rPr>
                <w:rFonts w:hint="eastAsia" w:ascii="宋体" w:hAnsi="宋体"/>
                <w:sz w:val="18"/>
                <w:szCs w:val="18"/>
              </w:rPr>
              <w:t>混合料</w:t>
            </w:r>
          </w:p>
        </w:tc>
        <w:tc>
          <w:tcPr>
            <w:tcW w:w="865" w:type="pct"/>
            <w:vAlign w:val="center"/>
          </w:tcPr>
          <w:p w14:paraId="49D777CD">
            <w:pPr>
              <w:snapToGrid w:val="0"/>
              <w:spacing w:line="240" w:lineRule="auto"/>
              <w:jc w:val="center"/>
              <w:rPr>
                <w:rFonts w:ascii="宋体" w:hAnsi="宋体"/>
                <w:sz w:val="18"/>
                <w:szCs w:val="18"/>
              </w:rPr>
            </w:pPr>
            <w:r>
              <w:rPr>
                <w:rFonts w:hint="eastAsia" w:ascii="宋体" w:hAnsi="宋体"/>
                <w:sz w:val="18"/>
                <w:szCs w:val="18"/>
              </w:rPr>
              <w:t>净味高模量改性沥青混合料</w:t>
            </w:r>
          </w:p>
        </w:tc>
        <w:tc>
          <w:tcPr>
            <w:tcW w:w="778" w:type="pct"/>
            <w:vMerge w:val="continue"/>
            <w:vAlign w:val="center"/>
          </w:tcPr>
          <w:p w14:paraId="72CE1BBC">
            <w:pPr>
              <w:snapToGrid w:val="0"/>
              <w:spacing w:line="240" w:lineRule="auto"/>
              <w:jc w:val="center"/>
              <w:rPr>
                <w:rFonts w:ascii="宋体" w:hAnsi="宋体"/>
                <w:sz w:val="18"/>
                <w:szCs w:val="18"/>
              </w:rPr>
            </w:pPr>
          </w:p>
        </w:tc>
      </w:tr>
      <w:tr w14:paraId="5F3102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86" w:type="pct"/>
            <w:vAlign w:val="center"/>
          </w:tcPr>
          <w:p w14:paraId="6D6B0FD3">
            <w:pPr>
              <w:snapToGrid w:val="0"/>
              <w:spacing w:line="240" w:lineRule="auto"/>
              <w:jc w:val="center"/>
              <w:rPr>
                <w:rFonts w:ascii="宋体" w:hAnsi="宋体"/>
                <w:sz w:val="18"/>
                <w:szCs w:val="18"/>
              </w:rPr>
            </w:pPr>
            <w:r>
              <w:rPr>
                <w:rFonts w:ascii="宋体" w:hAnsi="宋体"/>
                <w:sz w:val="18"/>
                <w:szCs w:val="18"/>
              </w:rPr>
              <w:t>沥青加热</w:t>
            </w:r>
          </w:p>
        </w:tc>
        <w:tc>
          <w:tcPr>
            <w:tcW w:w="738" w:type="pct"/>
            <w:vAlign w:val="center"/>
          </w:tcPr>
          <w:p w14:paraId="2DD3C8B7">
            <w:pPr>
              <w:snapToGrid w:val="0"/>
              <w:spacing w:line="240" w:lineRule="auto"/>
              <w:jc w:val="center"/>
              <w:rPr>
                <w:rFonts w:ascii="宋体" w:hAnsi="宋体"/>
                <w:sz w:val="18"/>
                <w:szCs w:val="18"/>
              </w:rPr>
            </w:pPr>
            <w:r>
              <w:rPr>
                <w:rFonts w:ascii="宋体" w:hAnsi="宋体"/>
                <w:sz w:val="18"/>
                <w:szCs w:val="18"/>
              </w:rPr>
              <w:t>155～165</w:t>
            </w:r>
          </w:p>
        </w:tc>
        <w:tc>
          <w:tcPr>
            <w:tcW w:w="780" w:type="pct"/>
            <w:vAlign w:val="center"/>
          </w:tcPr>
          <w:p w14:paraId="1FEE1723">
            <w:pPr>
              <w:snapToGrid w:val="0"/>
              <w:spacing w:line="240" w:lineRule="auto"/>
              <w:jc w:val="center"/>
              <w:rPr>
                <w:rFonts w:ascii="宋体" w:hAnsi="宋体"/>
                <w:sz w:val="18"/>
                <w:szCs w:val="18"/>
              </w:rPr>
            </w:pPr>
            <w:r>
              <w:rPr>
                <w:rFonts w:ascii="宋体" w:hAnsi="宋体"/>
                <w:sz w:val="18"/>
                <w:szCs w:val="18"/>
              </w:rPr>
              <w:t>165～175</w:t>
            </w:r>
          </w:p>
        </w:tc>
        <w:tc>
          <w:tcPr>
            <w:tcW w:w="950" w:type="pct"/>
            <w:vAlign w:val="center"/>
          </w:tcPr>
          <w:p w14:paraId="41C373B3">
            <w:pPr>
              <w:snapToGrid w:val="0"/>
              <w:spacing w:line="240" w:lineRule="auto"/>
              <w:jc w:val="center"/>
              <w:rPr>
                <w:rFonts w:ascii="宋体" w:hAnsi="宋体"/>
                <w:sz w:val="18"/>
                <w:szCs w:val="18"/>
              </w:rPr>
            </w:pPr>
            <w:r>
              <w:rPr>
                <w:rFonts w:hint="eastAsia" w:ascii="宋体" w:hAnsi="宋体"/>
                <w:sz w:val="18"/>
                <w:szCs w:val="18"/>
              </w:rPr>
              <w:t>1</w:t>
            </w:r>
            <w:r>
              <w:rPr>
                <w:rFonts w:ascii="宋体" w:hAnsi="宋体"/>
                <w:sz w:val="18"/>
                <w:szCs w:val="18"/>
              </w:rPr>
              <w:t>75～1</w:t>
            </w:r>
            <w:r>
              <w:rPr>
                <w:rFonts w:hint="eastAsia" w:ascii="宋体" w:hAnsi="宋体"/>
                <w:sz w:val="18"/>
                <w:szCs w:val="18"/>
              </w:rPr>
              <w:t>95</w:t>
            </w:r>
          </w:p>
        </w:tc>
        <w:tc>
          <w:tcPr>
            <w:tcW w:w="865" w:type="pct"/>
            <w:vAlign w:val="center"/>
          </w:tcPr>
          <w:p w14:paraId="7BA1B7BD">
            <w:pPr>
              <w:snapToGrid w:val="0"/>
              <w:spacing w:line="240" w:lineRule="auto"/>
              <w:jc w:val="center"/>
              <w:rPr>
                <w:rFonts w:ascii="宋体" w:hAnsi="宋体"/>
                <w:sz w:val="18"/>
                <w:szCs w:val="18"/>
              </w:rPr>
            </w:pPr>
            <w:r>
              <w:rPr>
                <w:rFonts w:ascii="宋体" w:hAnsi="宋体"/>
                <w:sz w:val="18"/>
                <w:szCs w:val="18"/>
              </w:rPr>
              <w:t>170～180</w:t>
            </w:r>
          </w:p>
        </w:tc>
        <w:tc>
          <w:tcPr>
            <w:tcW w:w="778" w:type="pct"/>
            <w:vAlign w:val="center"/>
          </w:tcPr>
          <w:p w14:paraId="2DC448D4">
            <w:pPr>
              <w:snapToGrid w:val="0"/>
              <w:spacing w:line="240" w:lineRule="auto"/>
              <w:jc w:val="center"/>
              <w:rPr>
                <w:rFonts w:ascii="宋体" w:hAnsi="宋体"/>
                <w:sz w:val="18"/>
                <w:szCs w:val="18"/>
              </w:rPr>
            </w:pPr>
            <w:r>
              <w:rPr>
                <w:rFonts w:ascii="宋体" w:hAnsi="宋体"/>
                <w:sz w:val="18"/>
                <w:szCs w:val="18"/>
              </w:rPr>
              <w:t>沥青加热罐</w:t>
            </w:r>
          </w:p>
        </w:tc>
      </w:tr>
      <w:tr w14:paraId="4DEF7C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86" w:type="pct"/>
            <w:vAlign w:val="center"/>
          </w:tcPr>
          <w:p w14:paraId="38243734">
            <w:pPr>
              <w:snapToGrid w:val="0"/>
              <w:spacing w:line="240" w:lineRule="auto"/>
              <w:jc w:val="center"/>
              <w:rPr>
                <w:rFonts w:ascii="宋体" w:hAnsi="宋体"/>
                <w:sz w:val="18"/>
                <w:szCs w:val="18"/>
              </w:rPr>
            </w:pPr>
            <w:r>
              <w:rPr>
                <w:rFonts w:ascii="宋体" w:hAnsi="宋体"/>
                <w:sz w:val="18"/>
                <w:szCs w:val="18"/>
              </w:rPr>
              <w:t>集料加热</w:t>
            </w:r>
          </w:p>
        </w:tc>
        <w:tc>
          <w:tcPr>
            <w:tcW w:w="738" w:type="pct"/>
            <w:vAlign w:val="center"/>
          </w:tcPr>
          <w:p w14:paraId="34A40343">
            <w:pPr>
              <w:snapToGrid w:val="0"/>
              <w:spacing w:line="240" w:lineRule="auto"/>
              <w:jc w:val="center"/>
              <w:rPr>
                <w:rFonts w:ascii="宋体" w:hAnsi="宋体"/>
                <w:sz w:val="18"/>
                <w:szCs w:val="18"/>
              </w:rPr>
            </w:pPr>
            <w:r>
              <w:rPr>
                <w:rFonts w:ascii="宋体" w:hAnsi="宋体"/>
                <w:sz w:val="18"/>
                <w:szCs w:val="18"/>
              </w:rPr>
              <w:t>180～190</w:t>
            </w:r>
          </w:p>
        </w:tc>
        <w:tc>
          <w:tcPr>
            <w:tcW w:w="780" w:type="pct"/>
            <w:vAlign w:val="center"/>
          </w:tcPr>
          <w:p w14:paraId="29B2CDFF">
            <w:pPr>
              <w:snapToGrid w:val="0"/>
              <w:spacing w:line="240" w:lineRule="auto"/>
              <w:jc w:val="center"/>
              <w:rPr>
                <w:rFonts w:ascii="宋体" w:hAnsi="宋体"/>
                <w:sz w:val="18"/>
                <w:szCs w:val="18"/>
              </w:rPr>
            </w:pPr>
            <w:r>
              <w:rPr>
                <w:rFonts w:ascii="宋体" w:hAnsi="宋体"/>
                <w:sz w:val="18"/>
                <w:szCs w:val="18"/>
              </w:rPr>
              <w:t>190～200</w:t>
            </w:r>
          </w:p>
        </w:tc>
        <w:tc>
          <w:tcPr>
            <w:tcW w:w="950" w:type="pct"/>
            <w:vAlign w:val="center"/>
          </w:tcPr>
          <w:p w14:paraId="7ACDB7DD">
            <w:pPr>
              <w:snapToGrid w:val="0"/>
              <w:spacing w:line="240" w:lineRule="auto"/>
              <w:jc w:val="center"/>
              <w:rPr>
                <w:rFonts w:ascii="宋体" w:hAnsi="宋体"/>
                <w:sz w:val="18"/>
                <w:szCs w:val="18"/>
              </w:rPr>
            </w:pPr>
            <w:r>
              <w:rPr>
                <w:rFonts w:hint="eastAsia" w:ascii="宋体" w:hAnsi="宋体"/>
                <w:sz w:val="18"/>
                <w:szCs w:val="18"/>
              </w:rPr>
              <w:t>1</w:t>
            </w:r>
            <w:r>
              <w:rPr>
                <w:rFonts w:ascii="宋体" w:hAnsi="宋体"/>
                <w:sz w:val="18"/>
                <w:szCs w:val="18"/>
              </w:rPr>
              <w:t>80～200</w:t>
            </w:r>
          </w:p>
        </w:tc>
        <w:tc>
          <w:tcPr>
            <w:tcW w:w="865" w:type="pct"/>
            <w:vAlign w:val="center"/>
          </w:tcPr>
          <w:p w14:paraId="6E8FA319">
            <w:pPr>
              <w:snapToGrid w:val="0"/>
              <w:spacing w:line="240" w:lineRule="auto"/>
              <w:jc w:val="center"/>
              <w:rPr>
                <w:rFonts w:ascii="宋体" w:hAnsi="宋体"/>
                <w:sz w:val="18"/>
                <w:szCs w:val="18"/>
              </w:rPr>
            </w:pPr>
            <w:r>
              <w:rPr>
                <w:rFonts w:ascii="宋体" w:hAnsi="宋体"/>
                <w:sz w:val="18"/>
                <w:szCs w:val="18"/>
              </w:rPr>
              <w:t>190～200</w:t>
            </w:r>
          </w:p>
        </w:tc>
        <w:tc>
          <w:tcPr>
            <w:tcW w:w="778" w:type="pct"/>
            <w:vAlign w:val="center"/>
          </w:tcPr>
          <w:p w14:paraId="5A0FBFDA">
            <w:pPr>
              <w:snapToGrid w:val="0"/>
              <w:spacing w:line="240" w:lineRule="auto"/>
              <w:jc w:val="center"/>
              <w:rPr>
                <w:rFonts w:ascii="宋体" w:hAnsi="宋体"/>
                <w:sz w:val="18"/>
                <w:szCs w:val="18"/>
              </w:rPr>
            </w:pPr>
            <w:r>
              <w:rPr>
                <w:rFonts w:ascii="宋体" w:hAnsi="宋体"/>
                <w:sz w:val="18"/>
                <w:szCs w:val="18"/>
              </w:rPr>
              <w:t>热料提升仓</w:t>
            </w:r>
          </w:p>
        </w:tc>
      </w:tr>
      <w:tr w14:paraId="1C888E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86" w:type="pct"/>
            <w:vAlign w:val="center"/>
          </w:tcPr>
          <w:p w14:paraId="6EF27582">
            <w:pPr>
              <w:snapToGrid w:val="0"/>
              <w:spacing w:line="240" w:lineRule="auto"/>
              <w:jc w:val="center"/>
              <w:rPr>
                <w:rFonts w:ascii="宋体" w:hAnsi="宋体"/>
                <w:sz w:val="18"/>
                <w:szCs w:val="18"/>
              </w:rPr>
            </w:pPr>
            <w:r>
              <w:rPr>
                <w:rFonts w:ascii="宋体" w:hAnsi="宋体"/>
                <w:sz w:val="18"/>
                <w:szCs w:val="18"/>
              </w:rPr>
              <w:t>混合料出料</w:t>
            </w:r>
          </w:p>
        </w:tc>
        <w:tc>
          <w:tcPr>
            <w:tcW w:w="738" w:type="pct"/>
            <w:vAlign w:val="center"/>
          </w:tcPr>
          <w:p w14:paraId="06AF53EC">
            <w:pPr>
              <w:snapToGrid w:val="0"/>
              <w:spacing w:line="240" w:lineRule="auto"/>
              <w:jc w:val="center"/>
              <w:rPr>
                <w:rFonts w:ascii="宋体" w:hAnsi="宋体"/>
                <w:sz w:val="18"/>
                <w:szCs w:val="18"/>
              </w:rPr>
            </w:pPr>
            <w:r>
              <w:rPr>
                <w:rFonts w:ascii="宋体" w:hAnsi="宋体"/>
                <w:sz w:val="18"/>
                <w:szCs w:val="18"/>
              </w:rPr>
              <w:t>160～170</w:t>
            </w:r>
          </w:p>
        </w:tc>
        <w:tc>
          <w:tcPr>
            <w:tcW w:w="780" w:type="pct"/>
            <w:vAlign w:val="center"/>
          </w:tcPr>
          <w:p w14:paraId="7C2B5454">
            <w:pPr>
              <w:snapToGrid w:val="0"/>
              <w:spacing w:line="240" w:lineRule="auto"/>
              <w:jc w:val="center"/>
              <w:rPr>
                <w:rFonts w:ascii="宋体" w:hAnsi="宋体"/>
                <w:sz w:val="18"/>
                <w:szCs w:val="18"/>
              </w:rPr>
            </w:pPr>
            <w:r>
              <w:rPr>
                <w:rFonts w:ascii="宋体" w:hAnsi="宋体"/>
                <w:sz w:val="18"/>
                <w:szCs w:val="18"/>
              </w:rPr>
              <w:t>180～190</w:t>
            </w:r>
          </w:p>
        </w:tc>
        <w:tc>
          <w:tcPr>
            <w:tcW w:w="950" w:type="pct"/>
            <w:vAlign w:val="center"/>
          </w:tcPr>
          <w:p w14:paraId="3A33C85C">
            <w:pPr>
              <w:snapToGrid w:val="0"/>
              <w:spacing w:line="240" w:lineRule="auto"/>
              <w:jc w:val="center"/>
              <w:rPr>
                <w:rFonts w:ascii="宋体" w:hAnsi="宋体"/>
                <w:sz w:val="18"/>
                <w:szCs w:val="18"/>
              </w:rPr>
            </w:pPr>
            <w:r>
              <w:rPr>
                <w:rFonts w:hint="eastAsia" w:ascii="宋体" w:hAnsi="宋体"/>
                <w:sz w:val="18"/>
                <w:szCs w:val="18"/>
              </w:rPr>
              <w:t>18</w:t>
            </w:r>
            <w:r>
              <w:rPr>
                <w:rFonts w:ascii="宋体" w:hAnsi="宋体"/>
                <w:sz w:val="18"/>
                <w:szCs w:val="18"/>
              </w:rPr>
              <w:t>0～1</w:t>
            </w:r>
            <w:r>
              <w:rPr>
                <w:rFonts w:hint="eastAsia" w:ascii="宋体" w:hAnsi="宋体"/>
                <w:sz w:val="18"/>
                <w:szCs w:val="18"/>
              </w:rPr>
              <w:t>90</w:t>
            </w:r>
          </w:p>
        </w:tc>
        <w:tc>
          <w:tcPr>
            <w:tcW w:w="865" w:type="pct"/>
            <w:vAlign w:val="center"/>
          </w:tcPr>
          <w:p w14:paraId="5F951A0A">
            <w:pPr>
              <w:snapToGrid w:val="0"/>
              <w:spacing w:line="240" w:lineRule="auto"/>
              <w:jc w:val="center"/>
              <w:rPr>
                <w:rFonts w:ascii="宋体" w:hAnsi="宋体"/>
                <w:sz w:val="18"/>
                <w:szCs w:val="18"/>
              </w:rPr>
            </w:pPr>
            <w:r>
              <w:rPr>
                <w:rFonts w:ascii="宋体" w:hAnsi="宋体"/>
                <w:sz w:val="18"/>
                <w:szCs w:val="18"/>
              </w:rPr>
              <w:t>170～185</w:t>
            </w:r>
          </w:p>
        </w:tc>
        <w:tc>
          <w:tcPr>
            <w:tcW w:w="778" w:type="pct"/>
            <w:vAlign w:val="center"/>
          </w:tcPr>
          <w:p w14:paraId="103144F5">
            <w:pPr>
              <w:snapToGrid w:val="0"/>
              <w:spacing w:line="240" w:lineRule="auto"/>
              <w:jc w:val="center"/>
              <w:rPr>
                <w:rFonts w:ascii="宋体" w:hAnsi="宋体"/>
                <w:sz w:val="18"/>
                <w:szCs w:val="18"/>
              </w:rPr>
            </w:pPr>
            <w:r>
              <w:rPr>
                <w:rFonts w:ascii="宋体" w:hAnsi="宋体"/>
                <w:sz w:val="18"/>
                <w:szCs w:val="18"/>
              </w:rPr>
              <w:t>运料车</w:t>
            </w:r>
          </w:p>
        </w:tc>
      </w:tr>
      <w:tr w14:paraId="646EF2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86" w:type="pct"/>
            <w:vAlign w:val="center"/>
          </w:tcPr>
          <w:p w14:paraId="3BC5754A">
            <w:pPr>
              <w:snapToGrid w:val="0"/>
              <w:spacing w:line="240" w:lineRule="auto"/>
              <w:jc w:val="center"/>
              <w:rPr>
                <w:rFonts w:ascii="宋体" w:hAnsi="宋体"/>
                <w:sz w:val="18"/>
                <w:szCs w:val="18"/>
              </w:rPr>
            </w:pPr>
            <w:r>
              <w:rPr>
                <w:rFonts w:ascii="宋体" w:hAnsi="宋体"/>
                <w:sz w:val="18"/>
                <w:szCs w:val="18"/>
              </w:rPr>
              <w:t>混合料废弃</w:t>
            </w:r>
            <w:r>
              <w:rPr>
                <w:rFonts w:hint="eastAsia" w:ascii="宋体" w:hAnsi="宋体"/>
                <w:sz w:val="18"/>
                <w:szCs w:val="18"/>
              </w:rPr>
              <w:t>（临界最高温度）</w:t>
            </w:r>
          </w:p>
        </w:tc>
        <w:tc>
          <w:tcPr>
            <w:tcW w:w="3334" w:type="pct"/>
            <w:gridSpan w:val="4"/>
            <w:vAlign w:val="center"/>
          </w:tcPr>
          <w:p w14:paraId="3536F18C">
            <w:pPr>
              <w:snapToGrid w:val="0"/>
              <w:spacing w:line="240" w:lineRule="auto"/>
              <w:jc w:val="center"/>
              <w:rPr>
                <w:rFonts w:ascii="宋体" w:hAnsi="宋体"/>
                <w:sz w:val="18"/>
                <w:szCs w:val="18"/>
              </w:rPr>
            </w:pPr>
            <w:r>
              <w:rPr>
                <w:rFonts w:ascii="宋体" w:hAnsi="宋体"/>
                <w:sz w:val="18"/>
                <w:szCs w:val="18"/>
              </w:rPr>
              <w:t>195</w:t>
            </w:r>
          </w:p>
        </w:tc>
        <w:tc>
          <w:tcPr>
            <w:tcW w:w="778" w:type="pct"/>
            <w:vAlign w:val="center"/>
          </w:tcPr>
          <w:p w14:paraId="6195550D">
            <w:pPr>
              <w:snapToGrid w:val="0"/>
              <w:spacing w:line="240" w:lineRule="auto"/>
              <w:jc w:val="center"/>
              <w:rPr>
                <w:rFonts w:ascii="宋体" w:hAnsi="宋体"/>
                <w:sz w:val="18"/>
                <w:szCs w:val="18"/>
              </w:rPr>
            </w:pPr>
            <w:r>
              <w:rPr>
                <w:rFonts w:ascii="宋体" w:hAnsi="宋体"/>
                <w:sz w:val="18"/>
                <w:szCs w:val="18"/>
              </w:rPr>
              <w:t>运料车</w:t>
            </w:r>
          </w:p>
        </w:tc>
      </w:tr>
      <w:tr w14:paraId="0FD54E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86" w:type="pct"/>
            <w:vAlign w:val="center"/>
          </w:tcPr>
          <w:p w14:paraId="5B4E3DA8">
            <w:pPr>
              <w:snapToGrid w:val="0"/>
              <w:spacing w:line="240" w:lineRule="auto"/>
              <w:jc w:val="center"/>
              <w:rPr>
                <w:rFonts w:ascii="宋体" w:hAnsi="宋体"/>
                <w:sz w:val="18"/>
                <w:szCs w:val="18"/>
              </w:rPr>
            </w:pPr>
            <w:r>
              <w:rPr>
                <w:rFonts w:ascii="宋体" w:hAnsi="宋体"/>
                <w:sz w:val="18"/>
                <w:szCs w:val="18"/>
              </w:rPr>
              <w:t>摊铺</w:t>
            </w:r>
          </w:p>
        </w:tc>
        <w:tc>
          <w:tcPr>
            <w:tcW w:w="738" w:type="pct"/>
            <w:vAlign w:val="center"/>
          </w:tcPr>
          <w:p w14:paraId="16F41022">
            <w:pPr>
              <w:snapToGrid w:val="0"/>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145</w:t>
            </w:r>
          </w:p>
        </w:tc>
        <w:tc>
          <w:tcPr>
            <w:tcW w:w="780" w:type="pct"/>
            <w:vAlign w:val="center"/>
          </w:tcPr>
          <w:p w14:paraId="3908B68D">
            <w:pPr>
              <w:snapToGrid w:val="0"/>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175</w:t>
            </w:r>
          </w:p>
        </w:tc>
        <w:tc>
          <w:tcPr>
            <w:tcW w:w="950" w:type="pct"/>
            <w:vAlign w:val="center"/>
          </w:tcPr>
          <w:p w14:paraId="1A94E782">
            <w:pPr>
              <w:snapToGrid w:val="0"/>
              <w:spacing w:line="240" w:lineRule="auto"/>
              <w:jc w:val="center"/>
              <w:rPr>
                <w:rFonts w:ascii="宋体" w:hAnsi="宋体"/>
                <w:sz w:val="18"/>
                <w:szCs w:val="18"/>
              </w:rPr>
            </w:pPr>
            <w:r>
              <w:rPr>
                <w:rFonts w:hint="eastAsia" w:ascii="宋体" w:hAnsi="宋体"/>
                <w:sz w:val="18"/>
                <w:szCs w:val="18"/>
              </w:rPr>
              <w:t>≥1</w:t>
            </w:r>
            <w:r>
              <w:rPr>
                <w:rFonts w:ascii="宋体" w:hAnsi="宋体"/>
                <w:sz w:val="18"/>
                <w:szCs w:val="18"/>
              </w:rPr>
              <w:t>65</w:t>
            </w:r>
          </w:p>
        </w:tc>
        <w:tc>
          <w:tcPr>
            <w:tcW w:w="865" w:type="pct"/>
            <w:vAlign w:val="center"/>
          </w:tcPr>
          <w:p w14:paraId="03EB564A">
            <w:pPr>
              <w:snapToGrid w:val="0"/>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160</w:t>
            </w:r>
          </w:p>
        </w:tc>
        <w:tc>
          <w:tcPr>
            <w:tcW w:w="778" w:type="pct"/>
            <w:vAlign w:val="center"/>
          </w:tcPr>
          <w:p w14:paraId="7C37279C">
            <w:pPr>
              <w:snapToGrid w:val="0"/>
              <w:spacing w:line="240" w:lineRule="auto"/>
              <w:jc w:val="center"/>
              <w:rPr>
                <w:rFonts w:ascii="宋体" w:hAnsi="宋体"/>
                <w:sz w:val="18"/>
                <w:szCs w:val="18"/>
              </w:rPr>
            </w:pPr>
            <w:r>
              <w:rPr>
                <w:rFonts w:ascii="宋体" w:hAnsi="宋体"/>
                <w:sz w:val="18"/>
                <w:szCs w:val="18"/>
              </w:rPr>
              <w:t>摊铺机</w:t>
            </w:r>
          </w:p>
        </w:tc>
      </w:tr>
      <w:tr w14:paraId="5450FF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86" w:type="pct"/>
            <w:vAlign w:val="center"/>
          </w:tcPr>
          <w:p w14:paraId="4844E27B">
            <w:pPr>
              <w:snapToGrid w:val="0"/>
              <w:spacing w:line="240" w:lineRule="auto"/>
              <w:jc w:val="center"/>
              <w:rPr>
                <w:rFonts w:ascii="宋体" w:hAnsi="宋体"/>
                <w:sz w:val="18"/>
                <w:szCs w:val="18"/>
              </w:rPr>
            </w:pPr>
            <w:r>
              <w:rPr>
                <w:rFonts w:ascii="宋体" w:hAnsi="宋体"/>
                <w:sz w:val="18"/>
                <w:szCs w:val="18"/>
              </w:rPr>
              <w:t>初压</w:t>
            </w:r>
          </w:p>
        </w:tc>
        <w:tc>
          <w:tcPr>
            <w:tcW w:w="738" w:type="pct"/>
            <w:vAlign w:val="center"/>
          </w:tcPr>
          <w:p w14:paraId="0069A61C">
            <w:pPr>
              <w:snapToGrid w:val="0"/>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140</w:t>
            </w:r>
          </w:p>
        </w:tc>
        <w:tc>
          <w:tcPr>
            <w:tcW w:w="780" w:type="pct"/>
            <w:vAlign w:val="center"/>
          </w:tcPr>
          <w:p w14:paraId="7BC15313">
            <w:pPr>
              <w:snapToGrid w:val="0"/>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170</w:t>
            </w:r>
          </w:p>
        </w:tc>
        <w:tc>
          <w:tcPr>
            <w:tcW w:w="950" w:type="pct"/>
            <w:vAlign w:val="center"/>
          </w:tcPr>
          <w:p w14:paraId="3062AC70">
            <w:pPr>
              <w:snapToGrid w:val="0"/>
              <w:spacing w:line="240" w:lineRule="auto"/>
              <w:jc w:val="center"/>
              <w:rPr>
                <w:rFonts w:ascii="宋体" w:hAnsi="宋体"/>
                <w:sz w:val="18"/>
                <w:szCs w:val="18"/>
              </w:rPr>
            </w:pPr>
            <w:r>
              <w:rPr>
                <w:rFonts w:hint="eastAsia" w:ascii="宋体" w:hAnsi="宋体"/>
                <w:sz w:val="18"/>
                <w:szCs w:val="18"/>
              </w:rPr>
              <w:t>≥1</w:t>
            </w:r>
            <w:r>
              <w:rPr>
                <w:rFonts w:ascii="宋体" w:hAnsi="宋体"/>
                <w:sz w:val="18"/>
                <w:szCs w:val="18"/>
              </w:rPr>
              <w:t>55</w:t>
            </w:r>
          </w:p>
        </w:tc>
        <w:tc>
          <w:tcPr>
            <w:tcW w:w="865" w:type="pct"/>
            <w:vAlign w:val="center"/>
          </w:tcPr>
          <w:p w14:paraId="5C6691C6">
            <w:pPr>
              <w:snapToGrid w:val="0"/>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155</w:t>
            </w:r>
          </w:p>
        </w:tc>
        <w:tc>
          <w:tcPr>
            <w:tcW w:w="778" w:type="pct"/>
            <w:vAlign w:val="center"/>
          </w:tcPr>
          <w:p w14:paraId="08710B4F">
            <w:pPr>
              <w:snapToGrid w:val="0"/>
              <w:spacing w:line="240" w:lineRule="auto"/>
              <w:jc w:val="center"/>
              <w:rPr>
                <w:rFonts w:ascii="宋体" w:hAnsi="宋体"/>
                <w:sz w:val="18"/>
                <w:szCs w:val="18"/>
              </w:rPr>
            </w:pPr>
            <w:r>
              <w:rPr>
                <w:rFonts w:ascii="宋体" w:hAnsi="宋体"/>
                <w:sz w:val="18"/>
                <w:szCs w:val="18"/>
              </w:rPr>
              <w:t>摊铺层内部</w:t>
            </w:r>
          </w:p>
        </w:tc>
      </w:tr>
      <w:tr w14:paraId="594FFA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86" w:type="pct"/>
            <w:vAlign w:val="center"/>
          </w:tcPr>
          <w:p w14:paraId="37410421">
            <w:pPr>
              <w:snapToGrid w:val="0"/>
              <w:spacing w:line="240" w:lineRule="auto"/>
              <w:jc w:val="center"/>
              <w:rPr>
                <w:rFonts w:ascii="宋体" w:hAnsi="宋体"/>
                <w:sz w:val="18"/>
                <w:szCs w:val="18"/>
              </w:rPr>
            </w:pPr>
            <w:r>
              <w:rPr>
                <w:rFonts w:ascii="宋体" w:hAnsi="宋体"/>
                <w:sz w:val="18"/>
                <w:szCs w:val="18"/>
              </w:rPr>
              <w:t>碾压终了</w:t>
            </w:r>
          </w:p>
        </w:tc>
        <w:tc>
          <w:tcPr>
            <w:tcW w:w="738" w:type="pct"/>
            <w:vAlign w:val="center"/>
          </w:tcPr>
          <w:p w14:paraId="3A45E582">
            <w:pPr>
              <w:snapToGrid w:val="0"/>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90</w:t>
            </w:r>
          </w:p>
        </w:tc>
        <w:tc>
          <w:tcPr>
            <w:tcW w:w="780" w:type="pct"/>
            <w:vAlign w:val="center"/>
          </w:tcPr>
          <w:p w14:paraId="3D32BB0B">
            <w:pPr>
              <w:snapToGrid w:val="0"/>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120</w:t>
            </w:r>
          </w:p>
        </w:tc>
        <w:tc>
          <w:tcPr>
            <w:tcW w:w="950" w:type="pct"/>
            <w:vAlign w:val="center"/>
          </w:tcPr>
          <w:p w14:paraId="5B852949">
            <w:pPr>
              <w:snapToGrid w:val="0"/>
              <w:spacing w:line="240" w:lineRule="auto"/>
              <w:jc w:val="center"/>
              <w:rPr>
                <w:rFonts w:ascii="宋体" w:hAnsi="宋体"/>
                <w:sz w:val="18"/>
                <w:szCs w:val="18"/>
              </w:rPr>
            </w:pPr>
            <w:r>
              <w:rPr>
                <w:rFonts w:hint="eastAsia" w:ascii="宋体" w:hAnsi="宋体"/>
                <w:sz w:val="18"/>
                <w:szCs w:val="18"/>
              </w:rPr>
              <w:t>≥9</w:t>
            </w:r>
            <w:r>
              <w:rPr>
                <w:rFonts w:ascii="宋体" w:hAnsi="宋体"/>
                <w:sz w:val="18"/>
                <w:szCs w:val="18"/>
              </w:rPr>
              <w:t>0</w:t>
            </w:r>
          </w:p>
        </w:tc>
        <w:tc>
          <w:tcPr>
            <w:tcW w:w="865" w:type="pct"/>
            <w:vAlign w:val="center"/>
          </w:tcPr>
          <w:p w14:paraId="12ACD2E7">
            <w:pPr>
              <w:snapToGrid w:val="0"/>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120</w:t>
            </w:r>
          </w:p>
        </w:tc>
        <w:tc>
          <w:tcPr>
            <w:tcW w:w="778" w:type="pct"/>
            <w:vAlign w:val="center"/>
          </w:tcPr>
          <w:p w14:paraId="01C1C0CF">
            <w:pPr>
              <w:snapToGrid w:val="0"/>
              <w:spacing w:line="240" w:lineRule="auto"/>
              <w:jc w:val="center"/>
              <w:rPr>
                <w:rFonts w:ascii="宋体" w:hAnsi="宋体"/>
                <w:sz w:val="18"/>
                <w:szCs w:val="18"/>
              </w:rPr>
            </w:pPr>
            <w:r>
              <w:rPr>
                <w:rFonts w:hint="eastAsia" w:ascii="宋体" w:hAnsi="宋体"/>
                <w:sz w:val="18"/>
                <w:szCs w:val="18"/>
              </w:rPr>
              <w:t>路表</w:t>
            </w:r>
          </w:p>
        </w:tc>
      </w:tr>
      <w:tr w14:paraId="14ADBD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86" w:type="pct"/>
            <w:vAlign w:val="center"/>
          </w:tcPr>
          <w:p w14:paraId="05ACA5AC">
            <w:pPr>
              <w:snapToGrid w:val="0"/>
              <w:spacing w:line="240" w:lineRule="auto"/>
              <w:jc w:val="center"/>
              <w:rPr>
                <w:rFonts w:ascii="宋体" w:hAnsi="宋体"/>
                <w:sz w:val="18"/>
                <w:szCs w:val="18"/>
              </w:rPr>
            </w:pPr>
            <w:r>
              <w:rPr>
                <w:rFonts w:ascii="宋体" w:hAnsi="宋体"/>
                <w:sz w:val="18"/>
                <w:szCs w:val="18"/>
              </w:rPr>
              <w:t>开放交通</w:t>
            </w:r>
          </w:p>
        </w:tc>
        <w:tc>
          <w:tcPr>
            <w:tcW w:w="738" w:type="pct"/>
            <w:vAlign w:val="center"/>
          </w:tcPr>
          <w:p w14:paraId="1A300D82">
            <w:pPr>
              <w:snapToGrid w:val="0"/>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50</w:t>
            </w:r>
          </w:p>
        </w:tc>
        <w:tc>
          <w:tcPr>
            <w:tcW w:w="780" w:type="pct"/>
            <w:vAlign w:val="center"/>
          </w:tcPr>
          <w:p w14:paraId="7A255246">
            <w:pPr>
              <w:snapToGrid w:val="0"/>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50</w:t>
            </w:r>
          </w:p>
        </w:tc>
        <w:tc>
          <w:tcPr>
            <w:tcW w:w="950" w:type="pct"/>
            <w:vAlign w:val="center"/>
          </w:tcPr>
          <w:p w14:paraId="20524017">
            <w:pPr>
              <w:snapToGrid w:val="0"/>
              <w:spacing w:line="240" w:lineRule="auto"/>
              <w:jc w:val="center"/>
              <w:rPr>
                <w:rFonts w:ascii="宋体" w:hAnsi="宋体"/>
                <w:sz w:val="18"/>
                <w:szCs w:val="18"/>
              </w:rPr>
            </w:pPr>
            <w:r>
              <w:rPr>
                <w:rFonts w:hint="eastAsia" w:ascii="宋体" w:hAnsi="宋体"/>
                <w:sz w:val="18"/>
                <w:szCs w:val="18"/>
              </w:rPr>
              <w:t>≤5</w:t>
            </w:r>
            <w:r>
              <w:rPr>
                <w:rFonts w:ascii="宋体" w:hAnsi="宋体"/>
                <w:sz w:val="18"/>
                <w:szCs w:val="18"/>
              </w:rPr>
              <w:t>0</w:t>
            </w:r>
          </w:p>
        </w:tc>
        <w:tc>
          <w:tcPr>
            <w:tcW w:w="865" w:type="pct"/>
            <w:vAlign w:val="center"/>
          </w:tcPr>
          <w:p w14:paraId="77574CEA">
            <w:pPr>
              <w:snapToGrid w:val="0"/>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50</w:t>
            </w:r>
          </w:p>
        </w:tc>
        <w:tc>
          <w:tcPr>
            <w:tcW w:w="778" w:type="pct"/>
            <w:vAlign w:val="center"/>
          </w:tcPr>
          <w:p w14:paraId="678E51D2">
            <w:pPr>
              <w:snapToGrid w:val="0"/>
              <w:spacing w:line="240" w:lineRule="auto"/>
              <w:jc w:val="center"/>
              <w:rPr>
                <w:rFonts w:ascii="宋体" w:hAnsi="宋体"/>
                <w:sz w:val="18"/>
                <w:szCs w:val="18"/>
              </w:rPr>
            </w:pPr>
            <w:r>
              <w:rPr>
                <w:rFonts w:ascii="宋体" w:hAnsi="宋体"/>
                <w:sz w:val="18"/>
                <w:szCs w:val="18"/>
              </w:rPr>
              <w:t>路表</w:t>
            </w:r>
          </w:p>
        </w:tc>
      </w:tr>
    </w:tbl>
    <w:p w14:paraId="50D7D7B1">
      <w:pPr>
        <w:pStyle w:val="170"/>
        <w:numPr>
          <w:ilvl w:val="0"/>
          <w:numId w:val="0"/>
        </w:numPr>
      </w:pPr>
    </w:p>
    <w:p w14:paraId="68A32275">
      <w:pPr>
        <w:pStyle w:val="110"/>
        <w:spacing w:before="156" w:after="156"/>
      </w:pPr>
      <w:bookmarkStart w:id="72" w:name="_Toc143676624"/>
      <w:bookmarkStart w:id="73" w:name="_Toc13613"/>
      <w:r>
        <w:rPr>
          <w:rFonts w:hint="eastAsia"/>
        </w:rPr>
        <w:t>拌和</w:t>
      </w:r>
      <w:bookmarkEnd w:id="72"/>
      <w:bookmarkEnd w:id="73"/>
    </w:p>
    <w:p w14:paraId="19704943">
      <w:pPr>
        <w:pStyle w:val="170"/>
        <w:numPr>
          <w:ilvl w:val="0"/>
          <w:numId w:val="0"/>
        </w:numPr>
        <w:ind w:left="567"/>
      </w:pPr>
      <w:r>
        <w:rPr>
          <w:rFonts w:hint="eastAsia"/>
        </w:rPr>
        <w:t>净味沥青混合料的拌和应符合JTG F40中的技术要求。</w:t>
      </w:r>
    </w:p>
    <w:p w14:paraId="7FFDD790">
      <w:pPr>
        <w:pStyle w:val="109"/>
        <w:spacing w:before="312" w:after="312"/>
      </w:pPr>
      <w:bookmarkStart w:id="74" w:name="_Toc4076"/>
      <w:bookmarkStart w:id="75" w:name="_Toc143676625"/>
      <w:r>
        <w:rPr>
          <w:rFonts w:hint="eastAsia"/>
        </w:rPr>
        <w:t>质量管理</w:t>
      </w:r>
      <w:bookmarkEnd w:id="74"/>
      <w:bookmarkEnd w:id="75"/>
    </w:p>
    <w:p w14:paraId="6EF3AAF2">
      <w:pPr>
        <w:pStyle w:val="110"/>
        <w:spacing w:before="156" w:after="156"/>
        <w:rPr>
          <w:rFonts w:ascii="宋体" w:hAnsi="宋体" w:eastAsia="宋体"/>
        </w:rPr>
      </w:pPr>
      <w:bookmarkStart w:id="76" w:name="_Toc31828"/>
      <w:r>
        <w:rPr>
          <w:rFonts w:hint="eastAsia" w:ascii="宋体" w:hAnsi="宋体" w:eastAsia="宋体"/>
        </w:rPr>
        <w:t>净味沥青混合料施工前，应以“批”为单位，按表4规定的检查项目与频度进行试验，其质量应符合JTG F40及本文件中的技术要求。</w:t>
      </w:r>
      <w:bookmarkEnd w:id="76"/>
    </w:p>
    <w:p w14:paraId="28EF1201">
      <w:pPr>
        <w:pStyle w:val="117"/>
        <w:numPr>
          <w:ilvl w:val="0"/>
          <w:numId w:val="31"/>
        </w:numPr>
        <w:spacing w:before="156" w:after="156"/>
      </w:pPr>
      <w:r>
        <w:rPr>
          <w:rFonts w:hint="eastAsia"/>
        </w:rPr>
        <w:t>净味沥青检查项目与频度</w:t>
      </w:r>
    </w:p>
    <w:tbl>
      <w:tblPr>
        <w:tblStyle w:val="29"/>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2461"/>
        <w:gridCol w:w="2427"/>
        <w:gridCol w:w="2341"/>
        <w:gridCol w:w="2341"/>
      </w:tblGrid>
      <w:tr w14:paraId="1A00C6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86" w:type="pct"/>
            <w:vAlign w:val="center"/>
          </w:tcPr>
          <w:p w14:paraId="76BA06FE">
            <w:pPr>
              <w:snapToGrid w:val="0"/>
              <w:spacing w:line="240" w:lineRule="auto"/>
              <w:jc w:val="center"/>
              <w:rPr>
                <w:rFonts w:ascii="宋体" w:hAnsi="宋体"/>
                <w:sz w:val="18"/>
                <w:szCs w:val="18"/>
              </w:rPr>
            </w:pPr>
            <w:r>
              <w:rPr>
                <w:rFonts w:hint="eastAsia" w:ascii="宋体" w:hAnsi="宋体"/>
                <w:sz w:val="18"/>
                <w:szCs w:val="18"/>
              </w:rPr>
              <w:t>材料</w:t>
            </w:r>
          </w:p>
        </w:tc>
        <w:tc>
          <w:tcPr>
            <w:tcW w:w="1268" w:type="pct"/>
            <w:vAlign w:val="center"/>
          </w:tcPr>
          <w:p w14:paraId="458801CD">
            <w:pPr>
              <w:snapToGrid w:val="0"/>
              <w:spacing w:line="240" w:lineRule="auto"/>
              <w:jc w:val="center"/>
              <w:rPr>
                <w:rFonts w:ascii="宋体" w:hAnsi="宋体"/>
                <w:sz w:val="18"/>
                <w:szCs w:val="18"/>
                <w:vertAlign w:val="superscript"/>
              </w:rPr>
            </w:pPr>
            <w:r>
              <w:rPr>
                <w:rFonts w:hint="eastAsia" w:ascii="宋体" w:hAnsi="宋体"/>
                <w:sz w:val="18"/>
                <w:szCs w:val="18"/>
              </w:rPr>
              <w:t>检查项目</w:t>
            </w:r>
          </w:p>
        </w:tc>
        <w:tc>
          <w:tcPr>
            <w:tcW w:w="1223" w:type="pct"/>
            <w:vAlign w:val="center"/>
          </w:tcPr>
          <w:p w14:paraId="03DB6627">
            <w:pPr>
              <w:snapToGrid w:val="0"/>
              <w:spacing w:line="240" w:lineRule="auto"/>
              <w:jc w:val="center"/>
              <w:rPr>
                <w:rFonts w:ascii="宋体" w:hAnsi="宋体"/>
                <w:sz w:val="18"/>
                <w:szCs w:val="18"/>
              </w:rPr>
            </w:pPr>
            <w:r>
              <w:rPr>
                <w:rFonts w:hint="eastAsia" w:ascii="宋体" w:hAnsi="宋体"/>
                <w:sz w:val="18"/>
                <w:szCs w:val="18"/>
              </w:rPr>
              <w:t>检查频度</w:t>
            </w:r>
          </w:p>
        </w:tc>
        <w:tc>
          <w:tcPr>
            <w:tcW w:w="1223" w:type="pct"/>
            <w:vAlign w:val="center"/>
          </w:tcPr>
          <w:p w14:paraId="0749A0AC">
            <w:pPr>
              <w:snapToGrid w:val="0"/>
              <w:spacing w:line="240" w:lineRule="auto"/>
              <w:jc w:val="center"/>
              <w:rPr>
                <w:rFonts w:ascii="宋体" w:hAnsi="宋体"/>
                <w:sz w:val="18"/>
                <w:szCs w:val="18"/>
              </w:rPr>
            </w:pPr>
            <w:r>
              <w:rPr>
                <w:rFonts w:hint="eastAsia" w:ascii="宋体" w:hAnsi="宋体"/>
                <w:sz w:val="18"/>
                <w:szCs w:val="18"/>
              </w:rPr>
              <w:t>平行试验次数</w:t>
            </w:r>
          </w:p>
        </w:tc>
      </w:tr>
      <w:tr w14:paraId="5B0A99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86" w:type="pct"/>
            <w:vAlign w:val="center"/>
          </w:tcPr>
          <w:p w14:paraId="5131A0E0">
            <w:pPr>
              <w:snapToGrid w:val="0"/>
              <w:spacing w:line="240" w:lineRule="auto"/>
              <w:jc w:val="center"/>
              <w:rPr>
                <w:rFonts w:ascii="宋体" w:hAnsi="宋体"/>
                <w:sz w:val="18"/>
                <w:szCs w:val="18"/>
              </w:rPr>
            </w:pPr>
            <w:r>
              <w:rPr>
                <w:rFonts w:hint="eastAsia" w:ascii="宋体" w:hAnsi="宋体"/>
                <w:sz w:val="18"/>
                <w:szCs w:val="18"/>
              </w:rPr>
              <w:t>净味沥青</w:t>
            </w:r>
          </w:p>
        </w:tc>
        <w:tc>
          <w:tcPr>
            <w:tcW w:w="1268" w:type="pct"/>
            <w:vAlign w:val="center"/>
          </w:tcPr>
          <w:p w14:paraId="7ACAD071">
            <w:pPr>
              <w:snapToGrid w:val="0"/>
              <w:spacing w:line="240" w:lineRule="auto"/>
              <w:jc w:val="center"/>
              <w:rPr>
                <w:rFonts w:ascii="宋体" w:hAnsi="宋体"/>
                <w:sz w:val="18"/>
                <w:szCs w:val="18"/>
              </w:rPr>
            </w:pPr>
            <w:r>
              <w:rPr>
                <w:rFonts w:hint="eastAsia" w:ascii="宋体" w:hAnsi="宋体"/>
                <w:sz w:val="18"/>
                <w:szCs w:val="18"/>
              </w:rPr>
              <w:t>特征污染物净化率</w:t>
            </w:r>
          </w:p>
        </w:tc>
        <w:tc>
          <w:tcPr>
            <w:tcW w:w="1223" w:type="pct"/>
            <w:vAlign w:val="center"/>
          </w:tcPr>
          <w:p w14:paraId="0E9394AE">
            <w:pPr>
              <w:snapToGrid w:val="0"/>
              <w:spacing w:line="240" w:lineRule="auto"/>
              <w:jc w:val="center"/>
              <w:rPr>
                <w:rFonts w:ascii="宋体" w:hAnsi="宋体"/>
                <w:sz w:val="18"/>
                <w:szCs w:val="18"/>
              </w:rPr>
            </w:pPr>
            <w:r>
              <w:rPr>
                <w:rFonts w:hint="eastAsia" w:ascii="宋体" w:hAnsi="宋体"/>
                <w:sz w:val="18"/>
                <w:szCs w:val="18"/>
              </w:rPr>
              <w:t>每批1次</w:t>
            </w:r>
          </w:p>
        </w:tc>
        <w:tc>
          <w:tcPr>
            <w:tcW w:w="1223" w:type="pct"/>
            <w:vAlign w:val="center"/>
          </w:tcPr>
          <w:p w14:paraId="715B6940">
            <w:pPr>
              <w:snapToGrid w:val="0"/>
              <w:spacing w:line="240" w:lineRule="auto"/>
              <w:jc w:val="center"/>
              <w:rPr>
                <w:rFonts w:ascii="宋体" w:hAnsi="宋体"/>
                <w:sz w:val="18"/>
                <w:szCs w:val="18"/>
              </w:rPr>
            </w:pPr>
            <w:r>
              <w:rPr>
                <w:rFonts w:hint="eastAsia" w:ascii="宋体" w:hAnsi="宋体"/>
                <w:sz w:val="18"/>
                <w:szCs w:val="18"/>
              </w:rPr>
              <w:t>3</w:t>
            </w:r>
          </w:p>
        </w:tc>
      </w:tr>
      <w:tr w14:paraId="4B0F2D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000" w:type="pct"/>
            <w:gridSpan w:val="4"/>
            <w:vAlign w:val="center"/>
          </w:tcPr>
          <w:p w14:paraId="23E4FC79">
            <w:pPr>
              <w:pStyle w:val="170"/>
              <w:numPr>
                <w:ilvl w:val="0"/>
                <w:numId w:val="0"/>
              </w:numPr>
              <w:rPr>
                <w:sz w:val="18"/>
                <w:szCs w:val="18"/>
              </w:rPr>
            </w:pPr>
            <w:r>
              <w:rPr>
                <w:rFonts w:hint="eastAsia"/>
                <w:sz w:val="18"/>
                <w:szCs w:val="18"/>
              </w:rPr>
              <w:t>注：同一沥青来源、同一种净味剂、同一次购入（或同一次制备）且储入同一沥青罐的同一规格的净味沥青为一“批”。</w:t>
            </w:r>
          </w:p>
        </w:tc>
      </w:tr>
    </w:tbl>
    <w:p w14:paraId="6EC4B405">
      <w:pPr>
        <w:pStyle w:val="110"/>
        <w:spacing w:before="156" w:after="156"/>
        <w:rPr>
          <w:rFonts w:ascii="宋体" w:hAnsi="宋体" w:eastAsia="宋体"/>
        </w:rPr>
      </w:pPr>
      <w:bookmarkStart w:id="77" w:name="_Toc32159"/>
      <w:r>
        <w:rPr>
          <w:rFonts w:hint="eastAsia" w:ascii="宋体" w:hAnsi="宋体" w:eastAsia="宋体"/>
        </w:rPr>
        <w:t>净味沥青混合料其他质量管理应按照JTG F40和JTG F80/1中的相关规定执行。</w:t>
      </w:r>
      <w:bookmarkEnd w:id="77"/>
    </w:p>
    <w:p w14:paraId="20B03EAC">
      <w:pPr>
        <w:pStyle w:val="170"/>
        <w:numPr>
          <w:ilvl w:val="0"/>
          <w:numId w:val="0"/>
        </w:numPr>
      </w:pPr>
    </w:p>
    <w:p w14:paraId="564A76ED">
      <w:pPr>
        <w:pStyle w:val="170"/>
        <w:sectPr>
          <w:pgSz w:w="11906" w:h="16838"/>
          <w:pgMar w:top="2410" w:right="1134" w:bottom="1134" w:left="1134" w:header="1418" w:footer="1134" w:gutter="284"/>
          <w:pgNumType w:start="1"/>
          <w:cols w:space="425" w:num="1"/>
          <w:formProt w:val="0"/>
          <w:docGrid w:type="lines" w:linePitch="312" w:charSpace="0"/>
        </w:sectPr>
      </w:pPr>
    </w:p>
    <w:p w14:paraId="345F4209">
      <w:pPr>
        <w:pStyle w:val="203"/>
        <w:rPr>
          <w:vanish w:val="0"/>
        </w:rPr>
      </w:pPr>
      <w:bookmarkStart w:id="78" w:name="BookMark5"/>
    </w:p>
    <w:p w14:paraId="2C3D0879">
      <w:pPr>
        <w:pStyle w:val="203"/>
      </w:pPr>
    </w:p>
    <w:p w14:paraId="27B95348">
      <w:pPr>
        <w:pStyle w:val="204"/>
      </w:pPr>
    </w:p>
    <w:p w14:paraId="746A9EB1">
      <w:pPr>
        <w:pStyle w:val="81"/>
        <w:spacing w:before="78" w:after="156"/>
      </w:pPr>
      <w:bookmarkStart w:id="79" w:name="_Toc12518"/>
      <w:r>
        <w:br w:type="textWrapping"/>
      </w:r>
      <w:r>
        <w:rPr>
          <w:rFonts w:hint="eastAsia"/>
        </w:rPr>
        <w:t>（规范性）</w:t>
      </w:r>
      <w:r>
        <w:br w:type="textWrapping"/>
      </w:r>
      <w:r>
        <w:rPr>
          <w:rFonts w:hint="eastAsia"/>
        </w:rPr>
        <w:t>沥青烟气特征污染物采样方法（室内）</w:t>
      </w:r>
      <w:bookmarkEnd w:id="79"/>
    </w:p>
    <w:p w14:paraId="313F832F">
      <w:pPr>
        <w:pStyle w:val="83"/>
        <w:spacing w:before="156" w:after="156"/>
      </w:pPr>
      <w:bookmarkStart w:id="80" w:name="_Toc4492"/>
      <w:r>
        <w:rPr>
          <w:rFonts w:hint="eastAsia"/>
        </w:rPr>
        <w:t>仪具与材料</w:t>
      </w:r>
      <w:bookmarkEnd w:id="80"/>
    </w:p>
    <w:p w14:paraId="41968AB8">
      <w:pPr>
        <w:pStyle w:val="241"/>
        <w:widowControl/>
        <w:numPr>
          <w:ilvl w:val="0"/>
          <w:numId w:val="32"/>
        </w:numPr>
        <w:tabs>
          <w:tab w:val="center" w:pos="4201"/>
          <w:tab w:val="right" w:leader="dot" w:pos="9298"/>
        </w:tabs>
        <w:autoSpaceDE w:val="0"/>
        <w:autoSpaceDN w:val="0"/>
        <w:adjustRightInd/>
        <w:spacing w:line="240" w:lineRule="auto"/>
        <w:ind w:firstLineChars="0"/>
        <w:rPr>
          <w:rFonts w:ascii="宋体" w:hAnsi="宋体"/>
          <w:szCs w:val="20"/>
        </w:rPr>
      </w:pPr>
      <w:r>
        <w:rPr>
          <w:rFonts w:hint="eastAsia" w:ascii="宋体" w:hAnsi="宋体"/>
          <w:szCs w:val="20"/>
        </w:rPr>
        <w:t>真空干燥箱：温度范围为（50～200）℃，温控精度±1℃。</w:t>
      </w:r>
    </w:p>
    <w:p w14:paraId="044A983B">
      <w:pPr>
        <w:pStyle w:val="241"/>
        <w:widowControl/>
        <w:numPr>
          <w:ilvl w:val="0"/>
          <w:numId w:val="32"/>
        </w:numPr>
        <w:tabs>
          <w:tab w:val="center" w:pos="4201"/>
          <w:tab w:val="right" w:leader="dot" w:pos="9298"/>
        </w:tabs>
        <w:autoSpaceDE w:val="0"/>
        <w:autoSpaceDN w:val="0"/>
        <w:adjustRightInd/>
        <w:spacing w:line="240" w:lineRule="auto"/>
        <w:ind w:firstLineChars="0"/>
        <w:rPr>
          <w:rFonts w:ascii="宋体" w:hAnsi="宋体"/>
          <w:szCs w:val="20"/>
        </w:rPr>
      </w:pPr>
      <w:r>
        <w:rPr>
          <w:rFonts w:hint="eastAsia" w:ascii="宋体" w:hAnsi="宋体"/>
          <w:szCs w:val="20"/>
        </w:rPr>
        <w:t>采样器：流量量程范围为（10～500）mL/min，控制精度±1 mL/min。</w:t>
      </w:r>
    </w:p>
    <w:p w14:paraId="7158C896">
      <w:pPr>
        <w:pStyle w:val="241"/>
        <w:widowControl/>
        <w:numPr>
          <w:ilvl w:val="0"/>
          <w:numId w:val="32"/>
        </w:numPr>
        <w:tabs>
          <w:tab w:val="center" w:pos="4201"/>
          <w:tab w:val="right" w:leader="dot" w:pos="9298"/>
        </w:tabs>
        <w:autoSpaceDE w:val="0"/>
        <w:autoSpaceDN w:val="0"/>
        <w:adjustRightInd/>
        <w:spacing w:line="240" w:lineRule="auto"/>
        <w:ind w:firstLineChars="0"/>
        <w:rPr>
          <w:rFonts w:ascii="宋体" w:hAnsi="宋体"/>
          <w:szCs w:val="20"/>
        </w:rPr>
      </w:pPr>
      <w:r>
        <w:rPr>
          <w:rFonts w:hint="eastAsia" w:ascii="宋体" w:hAnsi="宋体"/>
          <w:szCs w:val="20"/>
        </w:rPr>
        <w:t>采样吸附管：不锈钢材质，内径6.35 mm，长度89 mm，内充吸附剂为2，6-二苯呋喃多孔聚合物树脂，或使用其他具有相同功能的产品。</w:t>
      </w:r>
    </w:p>
    <w:p w14:paraId="675A0775">
      <w:pPr>
        <w:pStyle w:val="241"/>
        <w:widowControl/>
        <w:numPr>
          <w:ilvl w:val="0"/>
          <w:numId w:val="32"/>
        </w:numPr>
        <w:tabs>
          <w:tab w:val="center" w:pos="4201"/>
          <w:tab w:val="right" w:leader="dot" w:pos="9298"/>
        </w:tabs>
        <w:autoSpaceDE w:val="0"/>
        <w:autoSpaceDN w:val="0"/>
        <w:adjustRightInd/>
        <w:spacing w:line="240" w:lineRule="auto"/>
        <w:ind w:firstLineChars="0"/>
        <w:rPr>
          <w:rFonts w:ascii="宋体" w:hAnsi="宋体"/>
          <w:szCs w:val="20"/>
        </w:rPr>
      </w:pPr>
      <w:r>
        <w:rPr>
          <w:rFonts w:hint="eastAsia" w:ascii="宋体" w:hAnsi="宋体"/>
          <w:szCs w:val="20"/>
        </w:rPr>
        <w:t>平底托盘：不锈钢材质，底径为9 cm。</w:t>
      </w:r>
    </w:p>
    <w:p w14:paraId="0418D3FE">
      <w:pPr>
        <w:pStyle w:val="241"/>
        <w:widowControl/>
        <w:numPr>
          <w:ilvl w:val="0"/>
          <w:numId w:val="32"/>
        </w:numPr>
        <w:tabs>
          <w:tab w:val="center" w:pos="4201"/>
          <w:tab w:val="right" w:leader="dot" w:pos="9298"/>
        </w:tabs>
        <w:autoSpaceDE w:val="0"/>
        <w:autoSpaceDN w:val="0"/>
        <w:adjustRightInd/>
        <w:spacing w:line="240" w:lineRule="auto"/>
        <w:ind w:firstLineChars="0"/>
        <w:rPr>
          <w:rFonts w:ascii="宋体" w:hAnsi="宋体"/>
          <w:szCs w:val="20"/>
        </w:rPr>
      </w:pPr>
      <w:r>
        <w:rPr>
          <w:rFonts w:hint="eastAsia" w:ascii="宋体" w:hAnsi="宋体"/>
          <w:szCs w:val="20"/>
        </w:rPr>
        <w:t>采样装置示意图见图A.1。</w:t>
      </w:r>
    </w:p>
    <w:p w14:paraId="1D04E146">
      <w:pPr>
        <w:pStyle w:val="61"/>
        <w:ind w:firstLine="0" w:firstLineChars="0"/>
        <w:jc w:val="center"/>
      </w:pPr>
      <w:r>
        <w:drawing>
          <wp:inline distT="0" distB="0" distL="0" distR="0">
            <wp:extent cx="4257040" cy="1952625"/>
            <wp:effectExtent l="0" t="0" r="0" b="9525"/>
            <wp:docPr id="1117963745" name="图片 1117963745"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963745" name="图片 1117963745" descr="图示&#10;&#10;AI 生成的内容可能不正确。"/>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257040" cy="1952625"/>
                    </a:xfrm>
                    <a:prstGeom prst="rect">
                      <a:avLst/>
                    </a:prstGeom>
                    <a:noFill/>
                  </pic:spPr>
                </pic:pic>
              </a:graphicData>
            </a:graphic>
          </wp:inline>
        </w:drawing>
      </w:r>
    </w:p>
    <w:p w14:paraId="773B1A63">
      <w:pPr>
        <w:pStyle w:val="241"/>
        <w:widowControl/>
        <w:numPr>
          <w:ilvl w:val="1"/>
          <w:numId w:val="33"/>
        </w:numPr>
        <w:tabs>
          <w:tab w:val="center" w:pos="4201"/>
          <w:tab w:val="right" w:leader="dot" w:pos="9298"/>
        </w:tabs>
        <w:autoSpaceDE w:val="0"/>
        <w:autoSpaceDN w:val="0"/>
        <w:adjustRightInd/>
        <w:spacing w:line="240" w:lineRule="auto"/>
        <w:ind w:firstLineChars="0"/>
        <w:jc w:val="center"/>
        <w:rPr>
          <w:rFonts w:ascii="黑体" w:hAnsi="黑体" w:eastAsia="黑体"/>
          <w:kern w:val="0"/>
          <w:szCs w:val="20"/>
        </w:rPr>
      </w:pPr>
      <w:r>
        <w:rPr>
          <w:rFonts w:hint="eastAsia" w:ascii="黑体" w:hAnsi="黑体" w:eastAsia="黑体"/>
          <w:kern w:val="0"/>
          <w:szCs w:val="20"/>
        </w:rPr>
        <w:t>采样装置示意图</w:t>
      </w:r>
    </w:p>
    <w:p w14:paraId="7FE8499A">
      <w:pPr>
        <w:pStyle w:val="83"/>
        <w:spacing w:before="156" w:after="156"/>
      </w:pPr>
      <w:bookmarkStart w:id="81" w:name="_Toc24668"/>
      <w:r>
        <w:rPr>
          <w:rFonts w:hint="eastAsia"/>
        </w:rPr>
        <w:t>采样步骤</w:t>
      </w:r>
      <w:bookmarkEnd w:id="81"/>
    </w:p>
    <w:p w14:paraId="2B9A6909">
      <w:pPr>
        <w:pStyle w:val="61"/>
        <w:numPr>
          <w:ilvl w:val="0"/>
          <w:numId w:val="34"/>
        </w:numPr>
        <w:ind w:firstLineChars="0"/>
        <w:jc w:val="left"/>
      </w:pPr>
      <w:r>
        <w:rPr>
          <w:rFonts w:hint="eastAsia"/>
        </w:rPr>
        <w:t>在每次放入样品前，将箱门关上，关闭放气阀，再开启真空泵电源开始抽气，使箱内达到真空度-0.1 MPa。保持10 min，然后关闭真空泵电源，旋动放气阀，解除箱内真空状态。</w:t>
      </w:r>
    </w:p>
    <w:p w14:paraId="6D4B55BE">
      <w:pPr>
        <w:pStyle w:val="61"/>
        <w:numPr>
          <w:ilvl w:val="0"/>
          <w:numId w:val="34"/>
        </w:numPr>
        <w:ind w:firstLineChars="0"/>
        <w:jc w:val="left"/>
      </w:pPr>
      <w:r>
        <w:rPr>
          <w:rFonts w:hint="eastAsia"/>
        </w:rPr>
        <w:t>启动电热鼓风干燥箱进行预热，设定温度与混合料现场生产出料温度保持一致，道路石油沥青为165℃±1℃，SBS改性沥青为170℃±1℃，橡胶沥青为180℃±1℃，高模量改性沥青为180℃±1℃。</w:t>
      </w:r>
    </w:p>
    <w:p w14:paraId="34777BE4">
      <w:pPr>
        <w:pStyle w:val="61"/>
        <w:numPr>
          <w:ilvl w:val="0"/>
          <w:numId w:val="34"/>
        </w:numPr>
        <w:ind w:firstLineChars="0"/>
        <w:jc w:val="left"/>
      </w:pPr>
      <w:r>
        <w:rPr>
          <w:rFonts w:hint="eastAsia"/>
        </w:rPr>
        <w:t>待干燥箱达到预设温度后，进行首次采样作为空白样品，其值要从样品分析结果中扣除。</w:t>
      </w:r>
    </w:p>
    <w:p w14:paraId="3A579D8E">
      <w:pPr>
        <w:pStyle w:val="61"/>
        <w:numPr>
          <w:ilvl w:val="0"/>
          <w:numId w:val="34"/>
        </w:numPr>
        <w:ind w:firstLineChars="0"/>
        <w:jc w:val="left"/>
      </w:pPr>
      <w:r>
        <w:rPr>
          <w:rFonts w:hint="eastAsia"/>
        </w:rPr>
        <w:t>取制备好的沥青50 g±5 g装入平底托盘中，让沥青自由均匀摊铺在盘中。</w:t>
      </w:r>
    </w:p>
    <w:p w14:paraId="2DC35BDB">
      <w:pPr>
        <w:pStyle w:val="61"/>
        <w:numPr>
          <w:ilvl w:val="0"/>
          <w:numId w:val="34"/>
        </w:numPr>
        <w:ind w:firstLineChars="0"/>
        <w:jc w:val="left"/>
      </w:pPr>
      <w:r>
        <w:rPr>
          <w:rFonts w:hint="eastAsia"/>
        </w:rPr>
        <w:t>立即将托盘放置于电热鼓风干燥箱中，待温度稳定10 min中后进行废气采集，以200 mL/min的流量采气50 min，采样工况体积为 10 L（</w:t>
      </w:r>
      <w:r>
        <w:rPr>
          <w:rFonts w:hint="eastAsia" w:hAnsi="宋体"/>
        </w:rPr>
        <w:t>硫化氢、二氧化硫采样参照此执行</w:t>
      </w:r>
      <w:r>
        <w:rPr>
          <w:rFonts w:hint="eastAsia"/>
        </w:rPr>
        <w:t>）。取3个平行样作为一组试样。</w:t>
      </w:r>
    </w:p>
    <w:p w14:paraId="544C4EB2">
      <w:pPr>
        <w:pStyle w:val="83"/>
        <w:spacing w:before="156" w:after="156"/>
      </w:pPr>
      <w:bookmarkStart w:id="82" w:name="_Toc16664"/>
      <w:r>
        <w:rPr>
          <w:rFonts w:hint="eastAsia"/>
        </w:rPr>
        <w:t>质量控制</w:t>
      </w:r>
      <w:bookmarkEnd w:id="82"/>
    </w:p>
    <w:p w14:paraId="6042D8BD">
      <w:pPr>
        <w:pStyle w:val="61"/>
        <w:numPr>
          <w:ilvl w:val="0"/>
          <w:numId w:val="35"/>
        </w:numPr>
        <w:ind w:firstLineChars="0"/>
      </w:pPr>
      <w:r>
        <w:rPr>
          <w:rFonts w:hint="eastAsia"/>
        </w:rPr>
        <w:t>采集样品前，应抽取20%的吸附管进行空白检验，当采样数量少于10个时，应至少抽取2根。空白管中相当于2 L采样量的目标物浓度应小于0.3 μg/m</w:t>
      </w:r>
      <w:r>
        <w:rPr>
          <w:rFonts w:hint="eastAsia"/>
          <w:vertAlign w:val="superscript"/>
        </w:rPr>
        <w:t>3</w:t>
      </w:r>
      <w:r>
        <w:rPr>
          <w:rFonts w:hint="eastAsia"/>
        </w:rPr>
        <w:t>，否则应重新制取。</w:t>
      </w:r>
    </w:p>
    <w:p w14:paraId="2F1446B5">
      <w:pPr>
        <w:pStyle w:val="61"/>
        <w:numPr>
          <w:ilvl w:val="0"/>
          <w:numId w:val="35"/>
        </w:numPr>
        <w:ind w:firstLineChars="0"/>
      </w:pPr>
      <w:r>
        <w:rPr>
          <w:rFonts w:hint="eastAsia"/>
        </w:rPr>
        <w:t>样品最终值为取样值减去基准值。</w:t>
      </w:r>
    </w:p>
    <w:p w14:paraId="31473B79">
      <w:pPr>
        <w:pStyle w:val="61"/>
        <w:numPr>
          <w:ilvl w:val="0"/>
          <w:numId w:val="35"/>
        </w:numPr>
        <w:ind w:firstLineChars="0"/>
      </w:pPr>
      <w:r>
        <w:rPr>
          <w:rFonts w:hint="eastAsia"/>
        </w:rPr>
        <w:t>采集装置中真空干燥箱和气体采样器严格按照每年一次的频率送法定的计量检定机构进行校准，校准后进行计量确认，确认满足要求后方可使用。采集装置需要进行期间核查，周期为3月一次，保证装置在使用期间保持量值的准确可靠和设备的正常运行。</w:t>
      </w:r>
    </w:p>
    <w:p w14:paraId="6E4ABF71">
      <w:pPr>
        <w:pStyle w:val="203"/>
      </w:pPr>
    </w:p>
    <w:bookmarkEnd w:id="78"/>
    <w:p w14:paraId="75B7B11A">
      <w:pPr>
        <w:pStyle w:val="68"/>
        <w:spacing w:before="124" w:after="156"/>
      </w:pPr>
      <w:bookmarkStart w:id="83" w:name="_Toc6413"/>
      <w:bookmarkStart w:id="84" w:name="BookMark6"/>
      <w:r>
        <w:rPr>
          <w:rFonts w:hint="eastAsia"/>
          <w:spacing w:val="105"/>
        </w:rPr>
        <w:t>参考文</w:t>
      </w:r>
      <w:r>
        <w:rPr>
          <w:rFonts w:hint="eastAsia"/>
        </w:rPr>
        <w:t>献</w:t>
      </w:r>
      <w:bookmarkEnd w:id="83"/>
    </w:p>
    <w:p w14:paraId="0D39B72A">
      <w:pPr>
        <w:pStyle w:val="61"/>
        <w:numPr>
          <w:ilvl w:val="0"/>
          <w:numId w:val="36"/>
        </w:numPr>
        <w:ind w:firstLine="420"/>
      </w:pPr>
      <w:r>
        <w:rPr>
          <w:rFonts w:hint="eastAsia"/>
        </w:rPr>
        <w:t>GB/T 43882—2024 净味沥青混凝土</w:t>
      </w:r>
    </w:p>
    <w:p w14:paraId="06A9CB3B">
      <w:pPr>
        <w:pStyle w:val="61"/>
        <w:numPr>
          <w:ilvl w:val="0"/>
          <w:numId w:val="36"/>
        </w:numPr>
        <w:ind w:firstLine="420"/>
      </w:pPr>
      <w:r>
        <w:rPr>
          <w:rFonts w:hint="eastAsia"/>
        </w:rPr>
        <w:t>GB 37822—2019 挥发性有机物无组织排放控制标准</w:t>
      </w:r>
    </w:p>
    <w:bookmarkEnd w:id="17"/>
    <w:bookmarkEnd w:id="84"/>
    <w:p w14:paraId="53AAB51E">
      <w:pPr>
        <w:pStyle w:val="61"/>
        <w:ind w:firstLine="0" w:firstLineChars="0"/>
        <w:jc w:val="center"/>
      </w:pPr>
      <w:bookmarkStart w:id="85" w:name="BookMark8"/>
      <w:r>
        <w:drawing>
          <wp:inline distT="0" distB="0" distL="0" distR="0">
            <wp:extent cx="1485900" cy="317500"/>
            <wp:effectExtent l="0" t="0" r="0" b="6350"/>
            <wp:docPr id="1349350519" name="图片 3"/>
            <wp:cNvGraphicFramePr/>
            <a:graphic xmlns:a="http://schemas.openxmlformats.org/drawingml/2006/main">
              <a:graphicData uri="http://schemas.openxmlformats.org/drawingml/2006/picture">
                <pic:pic xmlns:pic="http://schemas.openxmlformats.org/drawingml/2006/picture">
                  <pic:nvPicPr>
                    <pic:cNvPr id="1349350519" name="图片 3"/>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5"/>
    </w:p>
    <w:sectPr>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04623">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34CA2">
    <w:pPr>
      <w:pStyle w:val="19"/>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2324D1">
    <w:pPr>
      <w:pStyle w:val="19"/>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AF58FC">
    <w:pPr>
      <w:pStyle w:val="57"/>
    </w:pPr>
    <w:r>
      <w:fldChar w:fldCharType="begin"/>
    </w:r>
    <w:r>
      <w:instrText xml:space="preserve">PAGE   \* MERGEFORMAT</w:instrText>
    </w:r>
    <w:r>
      <w:fldChar w:fldCharType="separate"/>
    </w:r>
    <w:r>
      <w:rPr>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2FB2A8">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FACE83">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F724E">
    <w:pPr>
      <w:pStyle w:val="2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26F8B">
    <w:pPr>
      <w:pStyle w:val="66"/>
    </w:pPr>
    <w:r>
      <w:fldChar w:fldCharType="begin"/>
    </w:r>
    <w:r>
      <w:instrText xml:space="preserve"> STYLEREF  标准文件_文件编号  \* MERGEFORMAT </w:instrText>
    </w:r>
    <w:r>
      <w:fldChar w:fldCharType="separate"/>
    </w:r>
    <w:r>
      <w:t>DB37/T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111031">
    <w:pPr>
      <w:pStyle w:val="20"/>
      <w:jc w:val="right"/>
      <w:rPr>
        <w:lang w:val="fr-FR"/>
      </w:rPr>
    </w:pPr>
    <w:r>
      <w:fldChar w:fldCharType="begin"/>
    </w:r>
    <w:r>
      <w:instrText xml:space="preserve"> STYLEREF  标准文件_文件编号  \* MERGEFORMAT </w:instrText>
    </w:r>
    <w:r>
      <w:fldChar w:fldCharType="separate"/>
    </w:r>
    <w:r>
      <w:t>DB37/T XXXX—XXXX</w:t>
    </w:r>
    <w:r>
      <w:rPr>
        <w:lang w:val="fr-F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FC1787"/>
    <w:multiLevelType w:val="singleLevel"/>
    <w:tmpl w:val="A1FC1787"/>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9"/>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3016FCE"/>
    <w:multiLevelType w:val="multilevel"/>
    <w:tmpl w:val="03016FCE"/>
    <w:lvl w:ilvl="0" w:tentative="0">
      <w:start w:val="1"/>
      <w:numFmt w:val="decimal"/>
      <w:lvlText w:val="A.1.%1"/>
      <w:lvlJc w:val="left"/>
      <w:pPr>
        <w:tabs>
          <w:tab w:val="left" w:pos="680"/>
        </w:tabs>
        <w:ind w:left="0" w:firstLine="0"/>
      </w:pPr>
      <w:rPr>
        <w:rFonts w:hint="eastAsia" w:ascii="黑体" w:hAnsi="黑体" w:eastAsia="黑体"/>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4"/>
      <w:suff w:val="nothing"/>
      <w:lvlText w:val="%1%2.%3　"/>
      <w:lvlJc w:val="left"/>
      <w:pPr>
        <w:ind w:left="0" w:firstLine="0"/>
      </w:pPr>
    </w:lvl>
    <w:lvl w:ilvl="3" w:tentative="0">
      <w:start w:val="1"/>
      <w:numFmt w:val="decimal"/>
      <w:pStyle w:val="123"/>
      <w:suff w:val="nothing"/>
      <w:lvlText w:val="%1%2.%3.%4　"/>
      <w:lvlJc w:val="left"/>
      <w:pPr>
        <w:ind w:left="0" w:firstLine="0"/>
      </w:pPr>
    </w:lvl>
    <w:lvl w:ilvl="4" w:tentative="0">
      <w:start w:val="1"/>
      <w:numFmt w:val="decimal"/>
      <w:pStyle w:val="158"/>
      <w:suff w:val="nothing"/>
      <w:lvlText w:val="%1%2.%3.%4.%5　"/>
      <w:lvlJc w:val="left"/>
      <w:pPr>
        <w:ind w:left="0" w:firstLine="0"/>
      </w:pPr>
    </w:lvl>
    <w:lvl w:ilvl="5" w:tentative="0">
      <w:start w:val="1"/>
      <w:numFmt w:val="decimal"/>
      <w:pStyle w:val="160"/>
      <w:suff w:val="nothing"/>
      <w:lvlText w:val="%1%2.%3.%4.%5.%6　"/>
      <w:lvlJc w:val="left"/>
      <w:pPr>
        <w:ind w:left="0" w:firstLine="0"/>
      </w:pPr>
    </w:lvl>
    <w:lvl w:ilvl="6" w:tentative="0">
      <w:start w:val="1"/>
      <w:numFmt w:val="decimal"/>
      <w:pStyle w:val="163"/>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
    <w:nsid w:val="079102AD"/>
    <w:multiLevelType w:val="multilevel"/>
    <w:tmpl w:val="079102AD"/>
    <w:lvl w:ilvl="0" w:tentative="0">
      <w:start w:val="1"/>
      <w:numFmt w:val="decimal"/>
      <w:pStyle w:val="185"/>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5">
    <w:nsid w:val="07ED3FEA"/>
    <w:multiLevelType w:val="multilevel"/>
    <w:tmpl w:val="07ED3FEA"/>
    <w:lvl w:ilvl="0" w:tentative="0">
      <w:start w:val="1"/>
      <w:numFmt w:val="none"/>
      <w:pStyle w:val="94"/>
      <w:lvlText w:val="%1"/>
      <w:lvlJc w:val="left"/>
      <w:pPr>
        <w:ind w:left="425" w:hanging="425"/>
      </w:pPr>
      <w:rPr>
        <w:rFonts w:hint="eastAsia"/>
      </w:rPr>
    </w:lvl>
    <w:lvl w:ilvl="1" w:tentative="0">
      <w:start w:val="1"/>
      <w:numFmt w:val="decimal"/>
      <w:pStyle w:val="205"/>
      <w:suff w:val="nothing"/>
      <w:lvlText w:val="%10.%2 "/>
      <w:lvlJc w:val="left"/>
      <w:pPr>
        <w:ind w:left="0" w:firstLine="0"/>
      </w:pPr>
      <w:rPr>
        <w:rFonts w:hint="eastAsia" w:ascii="黑体" w:eastAsia="黑体" w:hAnsiTheme="minorHAnsi"/>
        <w:b w:val="0"/>
        <w:i w:val="0"/>
        <w:sz w:val="21"/>
      </w:rPr>
    </w:lvl>
    <w:lvl w:ilvl="2" w:tentative="0">
      <w:start w:val="1"/>
      <w:numFmt w:val="decimal"/>
      <w:pStyle w:val="206"/>
      <w:suff w:val="nothing"/>
      <w:lvlText w:val="%10.%2.%3 "/>
      <w:lvlJc w:val="left"/>
      <w:pPr>
        <w:ind w:left="0" w:firstLine="0"/>
      </w:pPr>
      <w:rPr>
        <w:rFonts w:hint="eastAsia" w:ascii="黑体" w:eastAsia="黑体" w:hAnsiTheme="minorHAnsi"/>
        <w:b w:val="0"/>
        <w:i w:val="0"/>
        <w:sz w:val="21"/>
      </w:rPr>
    </w:lvl>
    <w:lvl w:ilvl="3" w:tentative="0">
      <w:start w:val="1"/>
      <w:numFmt w:val="decimal"/>
      <w:pStyle w:val="207"/>
      <w:suff w:val="nothing"/>
      <w:lvlText w:val="%10.%2.%3.%4 "/>
      <w:lvlJc w:val="left"/>
      <w:pPr>
        <w:ind w:left="0" w:firstLine="0"/>
      </w:pPr>
      <w:rPr>
        <w:rFonts w:hint="eastAsia" w:ascii="黑体" w:eastAsia="黑体" w:hAnsiTheme="minorHAnsi"/>
        <w:b w:val="0"/>
        <w:i w:val="0"/>
        <w:sz w:val="21"/>
      </w:rPr>
    </w:lvl>
    <w:lvl w:ilvl="4" w:tentative="0">
      <w:start w:val="1"/>
      <w:numFmt w:val="decimal"/>
      <w:pStyle w:val="208"/>
      <w:suff w:val="nothing"/>
      <w:lvlText w:val="%10.%2.%3.%4.%5 "/>
      <w:lvlJc w:val="left"/>
      <w:pPr>
        <w:ind w:left="0" w:firstLine="0"/>
      </w:pPr>
      <w:rPr>
        <w:rFonts w:hint="eastAsia" w:ascii="黑体" w:eastAsia="黑体" w:hAnsiTheme="minorHAnsi"/>
        <w:b w:val="0"/>
        <w:i w:val="0"/>
        <w:sz w:val="21"/>
      </w:rPr>
    </w:lvl>
    <w:lvl w:ilvl="5" w:tentative="0">
      <w:start w:val="1"/>
      <w:numFmt w:val="decimal"/>
      <w:pStyle w:val="209"/>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0AE367E9"/>
    <w:multiLevelType w:val="multilevel"/>
    <w:tmpl w:val="0AE367E9"/>
    <w:lvl w:ilvl="0" w:tentative="0">
      <w:start w:val="1"/>
      <w:numFmt w:val="none"/>
      <w:pStyle w:val="186"/>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7">
    <w:nsid w:val="0AF640D2"/>
    <w:multiLevelType w:val="multilevel"/>
    <w:tmpl w:val="0AF640D2"/>
    <w:lvl w:ilvl="0" w:tentative="0">
      <w:start w:val="1"/>
      <w:numFmt w:val="decimal"/>
      <w:lvlText w:val="图A.%1"/>
      <w:lvlJc w:val="left"/>
      <w:pPr>
        <w:ind w:left="840" w:hanging="420"/>
      </w:pPr>
      <w:rPr>
        <w:rFonts w:hint="eastAsia" w:ascii="黑体" w:eastAsia="黑体"/>
        <w:sz w:val="21"/>
      </w:rPr>
    </w:lvl>
    <w:lvl w:ilvl="1" w:tentative="0">
      <w:start w:val="1"/>
      <w:numFmt w:val="decimal"/>
      <w:suff w:val="space"/>
      <w:lvlText w:val="图A.%2"/>
      <w:lvlJc w:val="left"/>
      <w:pPr>
        <w:ind w:left="420" w:hanging="420"/>
      </w:pPr>
      <w:rPr>
        <w:rFonts w:hint="eastAsia" w:ascii="黑体" w:eastAsia="黑体"/>
        <w:sz w:val="21"/>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BDC1670"/>
    <w:multiLevelType w:val="multilevel"/>
    <w:tmpl w:val="0BDC1670"/>
    <w:lvl w:ilvl="0" w:tentative="0">
      <w:start w:val="1"/>
      <w:numFmt w:val="decimal"/>
      <w:pStyle w:val="72"/>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0CE56945"/>
    <w:multiLevelType w:val="multilevel"/>
    <w:tmpl w:val="0CE56945"/>
    <w:lvl w:ilvl="0" w:tentative="0">
      <w:start w:val="1"/>
      <w:numFmt w:val="decimal"/>
      <w:lvlText w:val="表%1"/>
      <w:lvlJc w:val="left"/>
      <w:pPr>
        <w:ind w:left="0" w:firstLine="0"/>
      </w:pPr>
      <w:rPr>
        <w:rFonts w:hint="eastAsia" w:ascii="黑体" w:eastAsia="黑体"/>
        <w:sz w:val="21"/>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D051F45"/>
    <w:multiLevelType w:val="multilevel"/>
    <w:tmpl w:val="0D051F45"/>
    <w:lvl w:ilvl="0" w:tentative="0">
      <w:start w:val="1"/>
      <w:numFmt w:val="lowerRoman"/>
      <w:pStyle w:val="17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1">
    <w:nsid w:val="17B06737"/>
    <w:multiLevelType w:val="multilevel"/>
    <w:tmpl w:val="17B06737"/>
    <w:lvl w:ilvl="0" w:tentative="0">
      <w:start w:val="1"/>
      <w:numFmt w:val="decimal"/>
      <w:lvlText w:val="A.3.%1"/>
      <w:lvlJc w:val="left"/>
      <w:pPr>
        <w:tabs>
          <w:tab w:val="left" w:pos="680"/>
        </w:tabs>
        <w:ind w:left="0" w:firstLine="0"/>
      </w:pPr>
      <w:rPr>
        <w:rFonts w:hint="eastAsia" w:ascii="黑体" w:hAnsi="黑体" w:eastAsia="黑体"/>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1AD20F90"/>
    <w:multiLevelType w:val="multilevel"/>
    <w:tmpl w:val="1AD20F90"/>
    <w:lvl w:ilvl="0" w:tentative="0">
      <w:start w:val="1"/>
      <w:numFmt w:val="none"/>
      <w:pStyle w:val="115"/>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1AF15012"/>
    <w:multiLevelType w:val="multilevel"/>
    <w:tmpl w:val="1AF15012"/>
    <w:lvl w:ilvl="0" w:tentative="0">
      <w:start w:val="1"/>
      <w:numFmt w:val="upperLetter"/>
      <w:pStyle w:val="90"/>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4">
    <w:nsid w:val="1EAA1992"/>
    <w:multiLevelType w:val="multilevel"/>
    <w:tmpl w:val="1EAA1992"/>
    <w:lvl w:ilvl="0" w:tentative="0">
      <w:start w:val="1"/>
      <w:numFmt w:val="none"/>
      <w:pStyle w:val="97"/>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5">
    <w:nsid w:val="2C5917C3"/>
    <w:multiLevelType w:val="multilevel"/>
    <w:tmpl w:val="2C5917C3"/>
    <w:lvl w:ilvl="0" w:tentative="0">
      <w:start w:val="1"/>
      <w:numFmt w:val="none"/>
      <w:pStyle w:val="137"/>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2"/>
      <w:lvlText w:val=""/>
      <w:lvlJc w:val="left"/>
      <w:pPr>
        <w:ind w:left="851" w:hanging="431"/>
      </w:pPr>
      <w:rPr>
        <w:rFonts w:hint="default" w:ascii="Symbol" w:hAnsi="Symbol"/>
        <w:sz w:val="21"/>
      </w:rPr>
    </w:lvl>
    <w:lvl w:ilvl="2" w:tentative="0">
      <w:start w:val="1"/>
      <w:numFmt w:val="bullet"/>
      <w:pStyle w:val="177"/>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6">
    <w:nsid w:val="32F04FB2"/>
    <w:multiLevelType w:val="multilevel"/>
    <w:tmpl w:val="32F04FB2"/>
    <w:lvl w:ilvl="0" w:tentative="0">
      <w:start w:val="1"/>
      <w:numFmt w:val="lowerLetter"/>
      <w:pStyle w:val="106"/>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7">
    <w:nsid w:val="44C50F90"/>
    <w:multiLevelType w:val="multilevel"/>
    <w:tmpl w:val="44C50F90"/>
    <w:lvl w:ilvl="0" w:tentative="0">
      <w:start w:val="1"/>
      <w:numFmt w:val="lowerLetter"/>
      <w:pStyle w:val="179"/>
      <w:lvlText w:val="%1)"/>
      <w:lvlJc w:val="left"/>
      <w:pPr>
        <w:tabs>
          <w:tab w:val="left" w:pos="851"/>
        </w:tabs>
        <w:ind w:left="851" w:hanging="426"/>
      </w:pPr>
      <w:rPr>
        <w:rFonts w:hint="eastAsia" w:ascii="宋体" w:hAnsi="Times New Roman" w:eastAsia="宋体"/>
        <w:sz w:val="21"/>
      </w:rPr>
    </w:lvl>
    <w:lvl w:ilvl="1" w:tentative="0">
      <w:start w:val="1"/>
      <w:numFmt w:val="decimal"/>
      <w:pStyle w:val="114"/>
      <w:lvlText w:val="%2)"/>
      <w:lvlJc w:val="left"/>
      <w:pPr>
        <w:tabs>
          <w:tab w:val="left" w:pos="1276"/>
        </w:tabs>
        <w:ind w:left="1276" w:hanging="425"/>
      </w:pPr>
      <w:rPr>
        <w:rFonts w:hint="eastAsia" w:ascii="宋体" w:hAnsi="Times New Roman" w:eastAsia="宋体"/>
        <w:sz w:val="21"/>
      </w:rPr>
    </w:lvl>
    <w:lvl w:ilvl="2" w:tentative="0">
      <w:start w:val="1"/>
      <w:numFmt w:val="decimal"/>
      <w:pStyle w:val="122"/>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8">
    <w:nsid w:val="48802D1C"/>
    <w:multiLevelType w:val="multilevel"/>
    <w:tmpl w:val="48802D1C"/>
    <w:lvl w:ilvl="0" w:tentative="0">
      <w:start w:val="1"/>
      <w:numFmt w:val="upperLetter"/>
      <w:pStyle w:val="203"/>
      <w:lvlText w:val="%1"/>
      <w:lvlJc w:val="left"/>
      <w:pPr>
        <w:ind w:left="420" w:hanging="420"/>
      </w:pPr>
      <w:rPr>
        <w:rFonts w:hint="eastAsia"/>
      </w:rPr>
    </w:lvl>
    <w:lvl w:ilvl="1" w:tentative="0">
      <w:start w:val="1"/>
      <w:numFmt w:val="decimal"/>
      <w:pStyle w:val="88"/>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9">
    <w:nsid w:val="4B733A5F"/>
    <w:multiLevelType w:val="multilevel"/>
    <w:tmpl w:val="4B733A5F"/>
    <w:lvl w:ilvl="0" w:tentative="0">
      <w:start w:val="1"/>
      <w:numFmt w:val="decimal"/>
      <w:pStyle w:val="188"/>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0">
    <w:nsid w:val="4E5D0534"/>
    <w:multiLevelType w:val="multilevel"/>
    <w:tmpl w:val="4E5D0534"/>
    <w:lvl w:ilvl="0" w:tentative="0">
      <w:start w:val="1"/>
      <w:numFmt w:val="decimal"/>
      <w:pStyle w:val="121"/>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1">
    <w:nsid w:val="54632751"/>
    <w:multiLevelType w:val="multilevel"/>
    <w:tmpl w:val="54632751"/>
    <w:lvl w:ilvl="0" w:tentative="0">
      <w:start w:val="1"/>
      <w:numFmt w:val="none"/>
      <w:pStyle w:val="98"/>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2">
    <w:nsid w:val="557C2AF5"/>
    <w:multiLevelType w:val="multilevel"/>
    <w:tmpl w:val="557C2AF5"/>
    <w:lvl w:ilvl="0" w:tentative="0">
      <w:start w:val="1"/>
      <w:numFmt w:val="decimal"/>
      <w:pStyle w:val="119"/>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3">
    <w:nsid w:val="5603797C"/>
    <w:multiLevelType w:val="multilevel"/>
    <w:tmpl w:val="5603797C"/>
    <w:lvl w:ilvl="0" w:tentative="0">
      <w:start w:val="1"/>
      <w:numFmt w:val="upperLetter"/>
      <w:pStyle w:val="204"/>
      <w:suff w:val="space"/>
      <w:lvlText w:val="%1"/>
      <w:lvlJc w:val="left"/>
      <w:pPr>
        <w:ind w:left="425" w:hanging="425"/>
      </w:pPr>
      <w:rPr>
        <w:rFonts w:hint="eastAsia"/>
      </w:rPr>
    </w:lvl>
    <w:lvl w:ilvl="1" w:tentative="0">
      <w:start w:val="1"/>
      <w:numFmt w:val="decimal"/>
      <w:pStyle w:val="82"/>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4">
    <w:nsid w:val="564D2089"/>
    <w:multiLevelType w:val="multilevel"/>
    <w:tmpl w:val="564D2089"/>
    <w:lvl w:ilvl="0" w:tentative="0">
      <w:start w:val="1"/>
      <w:numFmt w:val="none"/>
      <w:pStyle w:val="116"/>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5">
    <w:nsid w:val="644622F9"/>
    <w:multiLevelType w:val="multilevel"/>
    <w:tmpl w:val="644622F9"/>
    <w:lvl w:ilvl="0" w:tentative="0">
      <w:start w:val="1"/>
      <w:numFmt w:val="upp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6">
    <w:nsid w:val="654A26C9"/>
    <w:multiLevelType w:val="multilevel"/>
    <w:tmpl w:val="654A26C9"/>
    <w:lvl w:ilvl="0" w:tentative="0">
      <w:start w:val="1"/>
      <w:numFmt w:val="none"/>
      <w:pStyle w:val="194"/>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7">
    <w:nsid w:val="655F3DDC"/>
    <w:multiLevelType w:val="multilevel"/>
    <w:tmpl w:val="655F3DDC"/>
    <w:lvl w:ilvl="0" w:tentative="0">
      <w:start w:val="1"/>
      <w:numFmt w:val="decimal"/>
      <w:lvlText w:val="A.2.%1"/>
      <w:lvlJc w:val="left"/>
      <w:pPr>
        <w:tabs>
          <w:tab w:val="left" w:pos="680"/>
        </w:tabs>
        <w:ind w:left="0" w:firstLine="0"/>
      </w:pPr>
      <w:rPr>
        <w:rFonts w:hint="eastAsia" w:ascii="黑体" w:hAnsi="黑体" w:eastAsia="黑体"/>
        <w:b w:val="0"/>
        <w:bCs w:val="0"/>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57D3FBC"/>
    <w:multiLevelType w:val="multilevel"/>
    <w:tmpl w:val="657D3FBC"/>
    <w:lvl w:ilvl="0" w:tentative="0">
      <w:start w:val="1"/>
      <w:numFmt w:val="upperLetter"/>
      <w:pStyle w:val="81"/>
      <w:suff w:val="nothing"/>
      <w:lvlText w:val="附录%1"/>
      <w:lvlJc w:val="left"/>
      <w:pPr>
        <w:ind w:left="0" w:firstLine="0"/>
      </w:pPr>
      <w:rPr>
        <w:rFonts w:hint="eastAsia"/>
        <w:spacing w:val="100"/>
      </w:rPr>
    </w:lvl>
    <w:lvl w:ilvl="1" w:tentative="0">
      <w:start w:val="1"/>
      <w:numFmt w:val="decimal"/>
      <w:pStyle w:val="83"/>
      <w:suff w:val="nothing"/>
      <w:lvlText w:val="%1.%2　"/>
      <w:lvlJc w:val="left"/>
      <w:pPr>
        <w:ind w:left="0" w:firstLine="0"/>
      </w:pPr>
      <w:rPr>
        <w:rFonts w:hint="eastAsia" w:ascii="黑体" w:eastAsia="黑体"/>
        <w:b w:val="0"/>
        <w:i w:val="0"/>
        <w:sz w:val="21"/>
      </w:rPr>
    </w:lvl>
    <w:lvl w:ilvl="2" w:tentative="0">
      <w:start w:val="1"/>
      <w:numFmt w:val="decimal"/>
      <w:pStyle w:val="84"/>
      <w:suff w:val="nothing"/>
      <w:lvlText w:val="%1.%2.%3　"/>
      <w:lvlJc w:val="left"/>
      <w:pPr>
        <w:ind w:left="0" w:firstLine="0"/>
      </w:pPr>
      <w:rPr>
        <w:rFonts w:hint="eastAsia" w:ascii="黑体" w:eastAsia="黑体"/>
        <w:b w:val="0"/>
        <w:i w:val="0"/>
        <w:sz w:val="21"/>
      </w:rPr>
    </w:lvl>
    <w:lvl w:ilvl="3" w:tentative="0">
      <w:start w:val="1"/>
      <w:numFmt w:val="decimal"/>
      <w:pStyle w:val="86"/>
      <w:suff w:val="nothing"/>
      <w:lvlText w:val="%1.%2.%3.%4　"/>
      <w:lvlJc w:val="left"/>
      <w:pPr>
        <w:ind w:left="0" w:firstLine="0"/>
      </w:pPr>
      <w:rPr>
        <w:rFonts w:hint="eastAsia" w:ascii="黑体" w:eastAsia="黑体"/>
        <w:b w:val="0"/>
        <w:i w:val="0"/>
        <w:sz w:val="21"/>
      </w:rPr>
    </w:lvl>
    <w:lvl w:ilvl="4" w:tentative="0">
      <w:start w:val="1"/>
      <w:numFmt w:val="decimal"/>
      <w:pStyle w:val="87"/>
      <w:suff w:val="nothing"/>
      <w:lvlText w:val="%1.%2.%3.%4.%5　"/>
      <w:lvlJc w:val="left"/>
      <w:pPr>
        <w:ind w:left="0" w:firstLine="0"/>
      </w:pPr>
      <w:rPr>
        <w:rFonts w:hint="eastAsia" w:ascii="黑体" w:eastAsia="黑体"/>
        <w:b w:val="0"/>
        <w:i w:val="0"/>
        <w:sz w:val="21"/>
      </w:rPr>
    </w:lvl>
    <w:lvl w:ilvl="5" w:tentative="0">
      <w:start w:val="1"/>
      <w:numFmt w:val="decimal"/>
      <w:pStyle w:val="89"/>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9">
    <w:nsid w:val="69506ABF"/>
    <w:multiLevelType w:val="multilevel"/>
    <w:tmpl w:val="69506ABF"/>
    <w:lvl w:ilvl="0" w:tentative="0">
      <w:start w:val="1"/>
      <w:numFmt w:val="bullet"/>
      <w:pStyle w:val="193"/>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0">
    <w:nsid w:val="6CA41985"/>
    <w:multiLevelType w:val="multilevel"/>
    <w:tmpl w:val="6CA41985"/>
    <w:lvl w:ilvl="0" w:tentative="0">
      <w:start w:val="1"/>
      <w:numFmt w:val="decimal"/>
      <w:pStyle w:val="102"/>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1">
    <w:nsid w:val="6CE42AC1"/>
    <w:multiLevelType w:val="multilevel"/>
    <w:tmpl w:val="6CE42AC1"/>
    <w:lvl w:ilvl="0" w:tentative="0">
      <w:start w:val="1"/>
      <w:numFmt w:val="lowerLetter"/>
      <w:pStyle w:val="17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6CEA2025"/>
    <w:multiLevelType w:val="multilevel"/>
    <w:tmpl w:val="6CEA2025"/>
    <w:lvl w:ilvl="0" w:tentative="0">
      <w:start w:val="1"/>
      <w:numFmt w:val="none"/>
      <w:pStyle w:val="157"/>
      <w:suff w:val="nothing"/>
      <w:lvlText w:val="%1"/>
      <w:lvlJc w:val="left"/>
      <w:pPr>
        <w:ind w:left="0" w:firstLine="0"/>
      </w:pPr>
      <w:rPr>
        <w:rFonts w:hint="eastAsia"/>
      </w:rPr>
    </w:lvl>
    <w:lvl w:ilvl="1" w:tentative="0">
      <w:start w:val="1"/>
      <w:numFmt w:val="decimal"/>
      <w:pStyle w:val="109"/>
      <w:suff w:val="nothing"/>
      <w:lvlText w:val="%1%2　"/>
      <w:lvlJc w:val="left"/>
      <w:pPr>
        <w:ind w:left="0" w:firstLine="0"/>
      </w:pPr>
      <w:rPr>
        <w:rFonts w:hint="eastAsia" w:ascii="黑体" w:eastAsia="黑体"/>
        <w:b w:val="0"/>
        <w:i w:val="0"/>
        <w:sz w:val="21"/>
      </w:rPr>
    </w:lvl>
    <w:lvl w:ilvl="2" w:tentative="0">
      <w:start w:val="1"/>
      <w:numFmt w:val="decimal"/>
      <w:pStyle w:val="110"/>
      <w:suff w:val="nothing"/>
      <w:lvlText w:val="%1%2.%3　"/>
      <w:lvlJc w:val="left"/>
      <w:pPr>
        <w:ind w:left="0" w:firstLine="0"/>
      </w:pPr>
      <w:rPr>
        <w:rFonts w:hint="eastAsia" w:ascii="黑体" w:hAnsi="黑体" w:eastAsia="黑体"/>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70"/>
      <w:suff w:val="nothing"/>
      <w:lvlText w:val="%1%2.%3.%4　"/>
      <w:lvlJc w:val="left"/>
      <w:pPr>
        <w:ind w:left="0" w:firstLine="0"/>
      </w:pPr>
      <w:rPr>
        <w:rFonts w:hint="eastAsia" w:ascii="黑体" w:eastAsia="黑体"/>
        <w:b w:val="0"/>
        <w:i w:val="0"/>
        <w:sz w:val="21"/>
      </w:rPr>
    </w:lvl>
    <w:lvl w:ilvl="4" w:tentative="0">
      <w:start w:val="1"/>
      <w:numFmt w:val="decimal"/>
      <w:pStyle w:val="99"/>
      <w:suff w:val="nothing"/>
      <w:lvlText w:val="%1%2.%3.%4.%5　"/>
      <w:lvlJc w:val="left"/>
      <w:pPr>
        <w:ind w:left="0" w:firstLine="0"/>
      </w:pPr>
      <w:rPr>
        <w:rFonts w:hint="eastAsia" w:ascii="黑体" w:eastAsia="黑体"/>
        <w:b w:val="0"/>
        <w:i w:val="0"/>
        <w:sz w:val="21"/>
      </w:rPr>
    </w:lvl>
    <w:lvl w:ilvl="5" w:tentative="0">
      <w:start w:val="1"/>
      <w:numFmt w:val="decimal"/>
      <w:pStyle w:val="103"/>
      <w:suff w:val="nothing"/>
      <w:lvlText w:val="%1%2.%3.%4.%5.%6　"/>
      <w:lvlJc w:val="left"/>
      <w:pPr>
        <w:ind w:left="0" w:firstLine="0"/>
      </w:pPr>
      <w:rPr>
        <w:rFonts w:hint="eastAsia" w:ascii="黑体" w:eastAsia="黑体"/>
        <w:b w:val="0"/>
        <w:i w:val="0"/>
        <w:sz w:val="21"/>
      </w:rPr>
    </w:lvl>
    <w:lvl w:ilvl="6" w:tentative="0">
      <w:start w:val="1"/>
      <w:numFmt w:val="decimal"/>
      <w:pStyle w:val="108"/>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3">
    <w:nsid w:val="6D6C07CD"/>
    <w:multiLevelType w:val="multilevel"/>
    <w:tmpl w:val="6D6C07CD"/>
    <w:lvl w:ilvl="0" w:tentative="0">
      <w:start w:val="1"/>
      <w:numFmt w:val="lowerLetter"/>
      <w:pStyle w:val="237"/>
      <w:lvlText w:val="%1)"/>
      <w:lvlJc w:val="left"/>
      <w:pPr>
        <w:tabs>
          <w:tab w:val="left" w:pos="839"/>
        </w:tabs>
        <w:ind w:left="839" w:hanging="419"/>
      </w:pPr>
      <w:rPr>
        <w:rFonts w:hint="eastAsia" w:ascii="宋体" w:eastAsia="宋体"/>
        <w:b w:val="0"/>
        <w:i w:val="0"/>
        <w:sz w:val="21"/>
      </w:rPr>
    </w:lvl>
    <w:lvl w:ilvl="1" w:tentative="0">
      <w:start w:val="1"/>
      <w:numFmt w:val="decimal"/>
      <w:pStyle w:val="236"/>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34">
    <w:nsid w:val="6DF35F19"/>
    <w:multiLevelType w:val="multilevel"/>
    <w:tmpl w:val="6DF35F19"/>
    <w:lvl w:ilvl="0" w:tentative="0">
      <w:start w:val="1"/>
      <w:numFmt w:val="decimal"/>
      <w:pStyle w:val="120"/>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5">
    <w:nsid w:val="76933334"/>
    <w:multiLevelType w:val="multilevel"/>
    <w:tmpl w:val="76933334"/>
    <w:lvl w:ilvl="0" w:tentative="0">
      <w:start w:val="1"/>
      <w:numFmt w:val="none"/>
      <w:pStyle w:val="144"/>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32"/>
  </w:num>
  <w:num w:numId="3">
    <w:abstractNumId w:val="8"/>
  </w:num>
  <w:num w:numId="4">
    <w:abstractNumId w:val="28"/>
  </w:num>
  <w:num w:numId="5">
    <w:abstractNumId w:val="23"/>
  </w:num>
  <w:num w:numId="6">
    <w:abstractNumId w:val="18"/>
  </w:num>
  <w:num w:numId="7">
    <w:abstractNumId w:val="13"/>
  </w:num>
  <w:num w:numId="8">
    <w:abstractNumId w:val="5"/>
  </w:num>
  <w:num w:numId="9">
    <w:abstractNumId w:val="14"/>
  </w:num>
  <w:num w:numId="10">
    <w:abstractNumId w:val="21"/>
  </w:num>
  <w:num w:numId="11">
    <w:abstractNumId w:val="30"/>
  </w:num>
  <w:num w:numId="12">
    <w:abstractNumId w:val="16"/>
  </w:num>
  <w:num w:numId="13">
    <w:abstractNumId w:val="17"/>
  </w:num>
  <w:num w:numId="14">
    <w:abstractNumId w:val="12"/>
  </w:num>
  <w:num w:numId="15">
    <w:abstractNumId w:val="24"/>
  </w:num>
  <w:num w:numId="16">
    <w:abstractNumId w:val="22"/>
  </w:num>
  <w:num w:numId="17">
    <w:abstractNumId w:val="34"/>
  </w:num>
  <w:num w:numId="18">
    <w:abstractNumId w:val="20"/>
  </w:num>
  <w:num w:numId="19">
    <w:abstractNumId w:val="3"/>
  </w:num>
  <w:num w:numId="20">
    <w:abstractNumId w:val="15"/>
  </w:num>
  <w:num w:numId="21">
    <w:abstractNumId w:val="35"/>
  </w:num>
  <w:num w:numId="22">
    <w:abstractNumId w:val="25"/>
  </w:num>
  <w:num w:numId="23">
    <w:abstractNumId w:val="10"/>
  </w:num>
  <w:num w:numId="24">
    <w:abstractNumId w:val="31"/>
  </w:num>
  <w:num w:numId="25">
    <w:abstractNumId w:val="4"/>
  </w:num>
  <w:num w:numId="26">
    <w:abstractNumId w:val="6"/>
  </w:num>
  <w:num w:numId="27">
    <w:abstractNumId w:val="19"/>
  </w:num>
  <w:num w:numId="28">
    <w:abstractNumId w:val="29"/>
  </w:num>
  <w:num w:numId="29">
    <w:abstractNumId w:val="26"/>
  </w:num>
  <w:num w:numId="30">
    <w:abstractNumId w:val="33"/>
  </w:num>
  <w:num w:numId="31">
    <w:abstractNumId w:val="9"/>
  </w:num>
  <w:num w:numId="32">
    <w:abstractNumId w:val="2"/>
  </w:num>
  <w:num w:numId="33">
    <w:abstractNumId w:val="7"/>
  </w:num>
  <w:num w:numId="34">
    <w:abstractNumId w:val="27"/>
  </w:num>
  <w:num w:numId="35">
    <w:abstractNumId w:val="11"/>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documentProtection w:edit="forms"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czYzEyZGFiOTAwMWVhNTY4MmE4NjdlZDM2OWY4YTkifQ=="/>
  </w:docVars>
  <w:rsids>
    <w:rsidRoot w:val="007E6840"/>
    <w:rsid w:val="0000040A"/>
    <w:rsid w:val="00000A94"/>
    <w:rsid w:val="00001972"/>
    <w:rsid w:val="00001D9A"/>
    <w:rsid w:val="00006AA7"/>
    <w:rsid w:val="00007B3A"/>
    <w:rsid w:val="00010358"/>
    <w:rsid w:val="000107E0"/>
    <w:rsid w:val="00011FDE"/>
    <w:rsid w:val="00012648"/>
    <w:rsid w:val="00012FFD"/>
    <w:rsid w:val="00013E6F"/>
    <w:rsid w:val="00014162"/>
    <w:rsid w:val="00014340"/>
    <w:rsid w:val="00016A9C"/>
    <w:rsid w:val="000210E2"/>
    <w:rsid w:val="00022184"/>
    <w:rsid w:val="00022762"/>
    <w:rsid w:val="000238E0"/>
    <w:rsid w:val="000249DB"/>
    <w:rsid w:val="00024A0B"/>
    <w:rsid w:val="0002595E"/>
    <w:rsid w:val="00026324"/>
    <w:rsid w:val="000303C3"/>
    <w:rsid w:val="000331D3"/>
    <w:rsid w:val="000346A5"/>
    <w:rsid w:val="00034FAC"/>
    <w:rsid w:val="000359C3"/>
    <w:rsid w:val="00035A7D"/>
    <w:rsid w:val="000365ED"/>
    <w:rsid w:val="00041F39"/>
    <w:rsid w:val="0004249A"/>
    <w:rsid w:val="00042EB0"/>
    <w:rsid w:val="00043282"/>
    <w:rsid w:val="00044286"/>
    <w:rsid w:val="00045F6D"/>
    <w:rsid w:val="00047F28"/>
    <w:rsid w:val="000503AA"/>
    <w:rsid w:val="000506A1"/>
    <w:rsid w:val="000515DD"/>
    <w:rsid w:val="0005265A"/>
    <w:rsid w:val="000539DD"/>
    <w:rsid w:val="00053BD3"/>
    <w:rsid w:val="000556ED"/>
    <w:rsid w:val="00055FE2"/>
    <w:rsid w:val="0005616F"/>
    <w:rsid w:val="000606BA"/>
    <w:rsid w:val="00060C2E"/>
    <w:rsid w:val="00061033"/>
    <w:rsid w:val="000619E9"/>
    <w:rsid w:val="000622D4"/>
    <w:rsid w:val="0006357D"/>
    <w:rsid w:val="000672EA"/>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519C"/>
    <w:rsid w:val="00096D63"/>
    <w:rsid w:val="000A0B60"/>
    <w:rsid w:val="000A0EB8"/>
    <w:rsid w:val="000A19FC"/>
    <w:rsid w:val="000A296B"/>
    <w:rsid w:val="000A72CA"/>
    <w:rsid w:val="000A7311"/>
    <w:rsid w:val="000B060F"/>
    <w:rsid w:val="000B1428"/>
    <w:rsid w:val="000B1592"/>
    <w:rsid w:val="000B1FF2"/>
    <w:rsid w:val="000B3CDA"/>
    <w:rsid w:val="000B6A0B"/>
    <w:rsid w:val="000B73BA"/>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2198"/>
    <w:rsid w:val="000F2860"/>
    <w:rsid w:val="000F4AEA"/>
    <w:rsid w:val="000F633F"/>
    <w:rsid w:val="000F67E9"/>
    <w:rsid w:val="00103E44"/>
    <w:rsid w:val="00104926"/>
    <w:rsid w:val="00113B1E"/>
    <w:rsid w:val="001148D5"/>
    <w:rsid w:val="0011711C"/>
    <w:rsid w:val="0012059C"/>
    <w:rsid w:val="00124E4F"/>
    <w:rsid w:val="001260B7"/>
    <w:rsid w:val="001265CB"/>
    <w:rsid w:val="001321C6"/>
    <w:rsid w:val="001325C4"/>
    <w:rsid w:val="00133010"/>
    <w:rsid w:val="001338EE"/>
    <w:rsid w:val="00133A0C"/>
    <w:rsid w:val="00133AAE"/>
    <w:rsid w:val="00135323"/>
    <w:rsid w:val="001356C4"/>
    <w:rsid w:val="00141114"/>
    <w:rsid w:val="00142969"/>
    <w:rsid w:val="001446C2"/>
    <w:rsid w:val="001457E7"/>
    <w:rsid w:val="00145D9D"/>
    <w:rsid w:val="00146388"/>
    <w:rsid w:val="00151F42"/>
    <w:rsid w:val="001529E5"/>
    <w:rsid w:val="00153C7E"/>
    <w:rsid w:val="00156B25"/>
    <w:rsid w:val="00156E1A"/>
    <w:rsid w:val="00157894"/>
    <w:rsid w:val="00157B55"/>
    <w:rsid w:val="00162B08"/>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2ABE"/>
    <w:rsid w:val="0019348F"/>
    <w:rsid w:val="00193A07"/>
    <w:rsid w:val="00194C95"/>
    <w:rsid w:val="00195C34"/>
    <w:rsid w:val="00196EF5"/>
    <w:rsid w:val="001A1A53"/>
    <w:rsid w:val="001A234A"/>
    <w:rsid w:val="001A4CF3"/>
    <w:rsid w:val="001A6DD7"/>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5DE2"/>
    <w:rsid w:val="001E1B6A"/>
    <w:rsid w:val="001E2484"/>
    <w:rsid w:val="001E3CC4"/>
    <w:rsid w:val="001E4882"/>
    <w:rsid w:val="001E4ED7"/>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06A5C"/>
    <w:rsid w:val="00210B15"/>
    <w:rsid w:val="002142EA"/>
    <w:rsid w:val="002204BB"/>
    <w:rsid w:val="00221991"/>
    <w:rsid w:val="00221B79"/>
    <w:rsid w:val="00221C6B"/>
    <w:rsid w:val="002253A1"/>
    <w:rsid w:val="00225CF8"/>
    <w:rsid w:val="0022794E"/>
    <w:rsid w:val="0023176B"/>
    <w:rsid w:val="00233D64"/>
    <w:rsid w:val="0023482A"/>
    <w:rsid w:val="002359CB"/>
    <w:rsid w:val="00236EDF"/>
    <w:rsid w:val="00243540"/>
    <w:rsid w:val="0024497B"/>
    <w:rsid w:val="0024515B"/>
    <w:rsid w:val="0024575B"/>
    <w:rsid w:val="00246021"/>
    <w:rsid w:val="0024666E"/>
    <w:rsid w:val="00247F52"/>
    <w:rsid w:val="00250B25"/>
    <w:rsid w:val="00250BBE"/>
    <w:rsid w:val="002515C2"/>
    <w:rsid w:val="0025194F"/>
    <w:rsid w:val="0026148A"/>
    <w:rsid w:val="00262696"/>
    <w:rsid w:val="00263D25"/>
    <w:rsid w:val="002643C3"/>
    <w:rsid w:val="00264A0C"/>
    <w:rsid w:val="00266EEB"/>
    <w:rsid w:val="00267C97"/>
    <w:rsid w:val="00267EF4"/>
    <w:rsid w:val="00270CB8"/>
    <w:rsid w:val="00271023"/>
    <w:rsid w:val="00271A6D"/>
    <w:rsid w:val="00272B08"/>
    <w:rsid w:val="0028173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8E7"/>
    <w:rsid w:val="002A757F"/>
    <w:rsid w:val="002A7F44"/>
    <w:rsid w:val="002B0C40"/>
    <w:rsid w:val="002B1966"/>
    <w:rsid w:val="002B4508"/>
    <w:rsid w:val="002B5779"/>
    <w:rsid w:val="002B62A6"/>
    <w:rsid w:val="002B7332"/>
    <w:rsid w:val="002B7F51"/>
    <w:rsid w:val="002C09E7"/>
    <w:rsid w:val="002C1E06"/>
    <w:rsid w:val="002C1E1C"/>
    <w:rsid w:val="002C3BDD"/>
    <w:rsid w:val="002C3F07"/>
    <w:rsid w:val="002C5278"/>
    <w:rsid w:val="002C6319"/>
    <w:rsid w:val="002C7EBB"/>
    <w:rsid w:val="002D06C1"/>
    <w:rsid w:val="002D36B5"/>
    <w:rsid w:val="002D42B5"/>
    <w:rsid w:val="002D4F1A"/>
    <w:rsid w:val="002D6EC6"/>
    <w:rsid w:val="002D79AC"/>
    <w:rsid w:val="002E039D"/>
    <w:rsid w:val="002E4D5A"/>
    <w:rsid w:val="002E6326"/>
    <w:rsid w:val="002F30E0"/>
    <w:rsid w:val="002F35E4"/>
    <w:rsid w:val="002F3730"/>
    <w:rsid w:val="002F38E1"/>
    <w:rsid w:val="002F776F"/>
    <w:rsid w:val="002F7AF6"/>
    <w:rsid w:val="00300BB3"/>
    <w:rsid w:val="00300E63"/>
    <w:rsid w:val="00302F5F"/>
    <w:rsid w:val="0030441D"/>
    <w:rsid w:val="00305277"/>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6043"/>
    <w:rsid w:val="003615D2"/>
    <w:rsid w:val="00363317"/>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39AE"/>
    <w:rsid w:val="00394376"/>
    <w:rsid w:val="003943FF"/>
    <w:rsid w:val="00395700"/>
    <w:rsid w:val="003974EB"/>
    <w:rsid w:val="00397CC5"/>
    <w:rsid w:val="003A0FBE"/>
    <w:rsid w:val="003A1582"/>
    <w:rsid w:val="003A4077"/>
    <w:rsid w:val="003A5DA2"/>
    <w:rsid w:val="003A64B3"/>
    <w:rsid w:val="003B09AD"/>
    <w:rsid w:val="003B1F18"/>
    <w:rsid w:val="003B5BF0"/>
    <w:rsid w:val="003B60BF"/>
    <w:rsid w:val="003B6BE3"/>
    <w:rsid w:val="003B7A68"/>
    <w:rsid w:val="003C010C"/>
    <w:rsid w:val="003C0A6C"/>
    <w:rsid w:val="003C14F8"/>
    <w:rsid w:val="003C5A43"/>
    <w:rsid w:val="003D0519"/>
    <w:rsid w:val="003D0FF6"/>
    <w:rsid w:val="003D262C"/>
    <w:rsid w:val="003D4F35"/>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49CD"/>
    <w:rsid w:val="00405884"/>
    <w:rsid w:val="00407D39"/>
    <w:rsid w:val="0041010E"/>
    <w:rsid w:val="0041477A"/>
    <w:rsid w:val="004167A3"/>
    <w:rsid w:val="004325F3"/>
    <w:rsid w:val="00432DAA"/>
    <w:rsid w:val="00434305"/>
    <w:rsid w:val="00435DF7"/>
    <w:rsid w:val="0044083F"/>
    <w:rsid w:val="00441AE7"/>
    <w:rsid w:val="00445574"/>
    <w:rsid w:val="004467FB"/>
    <w:rsid w:val="00452D6B"/>
    <w:rsid w:val="00454484"/>
    <w:rsid w:val="0045517B"/>
    <w:rsid w:val="00457192"/>
    <w:rsid w:val="00463B77"/>
    <w:rsid w:val="00463C7B"/>
    <w:rsid w:val="004644A6"/>
    <w:rsid w:val="004659BD"/>
    <w:rsid w:val="00470775"/>
    <w:rsid w:val="00472F94"/>
    <w:rsid w:val="004746B1"/>
    <w:rsid w:val="00474DA8"/>
    <w:rsid w:val="0047583F"/>
    <w:rsid w:val="0047584A"/>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4200"/>
    <w:rsid w:val="004B6A74"/>
    <w:rsid w:val="004C1FBC"/>
    <w:rsid w:val="004C3F1D"/>
    <w:rsid w:val="004C41EB"/>
    <w:rsid w:val="004C458D"/>
    <w:rsid w:val="004C7556"/>
    <w:rsid w:val="004C7E8B"/>
    <w:rsid w:val="004C7E9D"/>
    <w:rsid w:val="004C7F67"/>
    <w:rsid w:val="004D076D"/>
    <w:rsid w:val="004D0EF1"/>
    <w:rsid w:val="004D1BDC"/>
    <w:rsid w:val="004D1EB9"/>
    <w:rsid w:val="004D223A"/>
    <w:rsid w:val="004D2253"/>
    <w:rsid w:val="004D4406"/>
    <w:rsid w:val="004D7C42"/>
    <w:rsid w:val="004E0465"/>
    <w:rsid w:val="004E127B"/>
    <w:rsid w:val="004E1C0A"/>
    <w:rsid w:val="004E2B06"/>
    <w:rsid w:val="004E30C5"/>
    <w:rsid w:val="004E318E"/>
    <w:rsid w:val="004E4AA5"/>
    <w:rsid w:val="004E4AEE"/>
    <w:rsid w:val="004E59E3"/>
    <w:rsid w:val="004E67C0"/>
    <w:rsid w:val="004F3470"/>
    <w:rsid w:val="004F391A"/>
    <w:rsid w:val="004F3CFB"/>
    <w:rsid w:val="004F55E7"/>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833"/>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82D"/>
    <w:rsid w:val="00551F6F"/>
    <w:rsid w:val="00553C44"/>
    <w:rsid w:val="005545BD"/>
    <w:rsid w:val="00555044"/>
    <w:rsid w:val="00561475"/>
    <w:rsid w:val="00562595"/>
    <w:rsid w:val="0056487B"/>
    <w:rsid w:val="00564FB9"/>
    <w:rsid w:val="00570550"/>
    <w:rsid w:val="00573D9E"/>
    <w:rsid w:val="00574051"/>
    <w:rsid w:val="00574B8A"/>
    <w:rsid w:val="00575460"/>
    <w:rsid w:val="005801E3"/>
    <w:rsid w:val="00581802"/>
    <w:rsid w:val="005836A8"/>
    <w:rsid w:val="0058409C"/>
    <w:rsid w:val="00584262"/>
    <w:rsid w:val="00586630"/>
    <w:rsid w:val="00587131"/>
    <w:rsid w:val="00587ADD"/>
    <w:rsid w:val="00591E27"/>
    <w:rsid w:val="005955F9"/>
    <w:rsid w:val="00596160"/>
    <w:rsid w:val="005966E2"/>
    <w:rsid w:val="00597007"/>
    <w:rsid w:val="005A0966"/>
    <w:rsid w:val="005A11B7"/>
    <w:rsid w:val="005A1EBC"/>
    <w:rsid w:val="005A260B"/>
    <w:rsid w:val="005A4A1B"/>
    <w:rsid w:val="005A75CD"/>
    <w:rsid w:val="005A7830"/>
    <w:rsid w:val="005A7FCE"/>
    <w:rsid w:val="005B0F2E"/>
    <w:rsid w:val="005B0F3F"/>
    <w:rsid w:val="005B1BE6"/>
    <w:rsid w:val="005B4903"/>
    <w:rsid w:val="005B51CE"/>
    <w:rsid w:val="005B5885"/>
    <w:rsid w:val="005B5C29"/>
    <w:rsid w:val="005B5CD7"/>
    <w:rsid w:val="005B6CF6"/>
    <w:rsid w:val="005B7422"/>
    <w:rsid w:val="005C29B8"/>
    <w:rsid w:val="005C2D46"/>
    <w:rsid w:val="005C5F21"/>
    <w:rsid w:val="005C7156"/>
    <w:rsid w:val="005D096C"/>
    <w:rsid w:val="005D0C75"/>
    <w:rsid w:val="005D4171"/>
    <w:rsid w:val="005D6A95"/>
    <w:rsid w:val="005D6B2C"/>
    <w:rsid w:val="005D6D9C"/>
    <w:rsid w:val="005E2335"/>
    <w:rsid w:val="005E34CA"/>
    <w:rsid w:val="005E3C18"/>
    <w:rsid w:val="005E489A"/>
    <w:rsid w:val="005E4CFC"/>
    <w:rsid w:val="005E6812"/>
    <w:rsid w:val="005E7881"/>
    <w:rsid w:val="005E78E0"/>
    <w:rsid w:val="005F0D9C"/>
    <w:rsid w:val="005F284E"/>
    <w:rsid w:val="005F4712"/>
    <w:rsid w:val="006015CE"/>
    <w:rsid w:val="0060332C"/>
    <w:rsid w:val="00604784"/>
    <w:rsid w:val="00604F0A"/>
    <w:rsid w:val="00606419"/>
    <w:rsid w:val="00607D29"/>
    <w:rsid w:val="00612952"/>
    <w:rsid w:val="00613F96"/>
    <w:rsid w:val="00614CC1"/>
    <w:rsid w:val="00615A9D"/>
    <w:rsid w:val="00617387"/>
    <w:rsid w:val="00617563"/>
    <w:rsid w:val="006205D6"/>
    <w:rsid w:val="006252D8"/>
    <w:rsid w:val="0062535A"/>
    <w:rsid w:val="006259BC"/>
    <w:rsid w:val="0062636B"/>
    <w:rsid w:val="00632182"/>
    <w:rsid w:val="00632AE0"/>
    <w:rsid w:val="00633C17"/>
    <w:rsid w:val="00634D9E"/>
    <w:rsid w:val="00636E3E"/>
    <w:rsid w:val="006379F7"/>
    <w:rsid w:val="00637E4D"/>
    <w:rsid w:val="00640620"/>
    <w:rsid w:val="006411C1"/>
    <w:rsid w:val="00641A1F"/>
    <w:rsid w:val="006438CC"/>
    <w:rsid w:val="00645904"/>
    <w:rsid w:val="00647968"/>
    <w:rsid w:val="00651ACB"/>
    <w:rsid w:val="00651C47"/>
    <w:rsid w:val="00652AB2"/>
    <w:rsid w:val="00653FED"/>
    <w:rsid w:val="00654EC0"/>
    <w:rsid w:val="0065525B"/>
    <w:rsid w:val="00655D4F"/>
    <w:rsid w:val="00656D29"/>
    <w:rsid w:val="006638E9"/>
    <w:rsid w:val="006640E5"/>
    <w:rsid w:val="006646F1"/>
    <w:rsid w:val="00664929"/>
    <w:rsid w:val="00664F62"/>
    <w:rsid w:val="006655E1"/>
    <w:rsid w:val="00672060"/>
    <w:rsid w:val="00672BFD"/>
    <w:rsid w:val="0067441F"/>
    <w:rsid w:val="006770F4"/>
    <w:rsid w:val="00677A84"/>
    <w:rsid w:val="0068026D"/>
    <w:rsid w:val="00680A27"/>
    <w:rsid w:val="006816A4"/>
    <w:rsid w:val="006819B8"/>
    <w:rsid w:val="006840A6"/>
    <w:rsid w:val="006850CD"/>
    <w:rsid w:val="00685AAB"/>
    <w:rsid w:val="006956FA"/>
    <w:rsid w:val="00695D22"/>
    <w:rsid w:val="006A03B1"/>
    <w:rsid w:val="006A07AA"/>
    <w:rsid w:val="006A1AAC"/>
    <w:rsid w:val="006A25E5"/>
    <w:rsid w:val="006A2B46"/>
    <w:rsid w:val="006A336D"/>
    <w:rsid w:val="006A37B9"/>
    <w:rsid w:val="006A7E33"/>
    <w:rsid w:val="006B2672"/>
    <w:rsid w:val="006B54BF"/>
    <w:rsid w:val="006B5F44"/>
    <w:rsid w:val="006B5F90"/>
    <w:rsid w:val="006B62E4"/>
    <w:rsid w:val="006C138D"/>
    <w:rsid w:val="006C1BBA"/>
    <w:rsid w:val="006C2079"/>
    <w:rsid w:val="006C5A62"/>
    <w:rsid w:val="006C5D68"/>
    <w:rsid w:val="006C6976"/>
    <w:rsid w:val="006C6DD0"/>
    <w:rsid w:val="006D04EA"/>
    <w:rsid w:val="006D16C4"/>
    <w:rsid w:val="006D3C94"/>
    <w:rsid w:val="006D3E96"/>
    <w:rsid w:val="006D4515"/>
    <w:rsid w:val="006D4BB1"/>
    <w:rsid w:val="006D6593"/>
    <w:rsid w:val="006E0427"/>
    <w:rsid w:val="006E23EA"/>
    <w:rsid w:val="006F03A8"/>
    <w:rsid w:val="006F2ACA"/>
    <w:rsid w:val="006F2ADC"/>
    <w:rsid w:val="006F2BFE"/>
    <w:rsid w:val="006F31E9"/>
    <w:rsid w:val="006F4CD4"/>
    <w:rsid w:val="006F6284"/>
    <w:rsid w:val="007002C5"/>
    <w:rsid w:val="00704387"/>
    <w:rsid w:val="00707669"/>
    <w:rsid w:val="00707894"/>
    <w:rsid w:val="007079A9"/>
    <w:rsid w:val="00711CBA"/>
    <w:rsid w:val="00711FB5"/>
    <w:rsid w:val="00712A01"/>
    <w:rsid w:val="00712FD0"/>
    <w:rsid w:val="00714F58"/>
    <w:rsid w:val="00716D25"/>
    <w:rsid w:val="00720CD9"/>
    <w:rsid w:val="00722FBF"/>
    <w:rsid w:val="00722FC2"/>
    <w:rsid w:val="00724879"/>
    <w:rsid w:val="00724E1B"/>
    <w:rsid w:val="00725949"/>
    <w:rsid w:val="00725C97"/>
    <w:rsid w:val="00727FA2"/>
    <w:rsid w:val="00730E21"/>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0E1"/>
    <w:rsid w:val="00756B26"/>
    <w:rsid w:val="00756EDF"/>
    <w:rsid w:val="007600E3"/>
    <w:rsid w:val="00762ABA"/>
    <w:rsid w:val="00765C43"/>
    <w:rsid w:val="00765EFB"/>
    <w:rsid w:val="007671CA"/>
    <w:rsid w:val="00767B62"/>
    <w:rsid w:val="00767C61"/>
    <w:rsid w:val="0077008A"/>
    <w:rsid w:val="00773C1F"/>
    <w:rsid w:val="00774DA4"/>
    <w:rsid w:val="00776599"/>
    <w:rsid w:val="00777CE0"/>
    <w:rsid w:val="0078114B"/>
    <w:rsid w:val="00781DD2"/>
    <w:rsid w:val="00783ECF"/>
    <w:rsid w:val="0078413A"/>
    <w:rsid w:val="00792C41"/>
    <w:rsid w:val="007959E8"/>
    <w:rsid w:val="00795E9C"/>
    <w:rsid w:val="007A0521"/>
    <w:rsid w:val="007A2E12"/>
    <w:rsid w:val="007A3475"/>
    <w:rsid w:val="007A41C8"/>
    <w:rsid w:val="007A54CE"/>
    <w:rsid w:val="007A6FD9"/>
    <w:rsid w:val="007A7FFA"/>
    <w:rsid w:val="007B04EB"/>
    <w:rsid w:val="007B0D4F"/>
    <w:rsid w:val="007B2DC6"/>
    <w:rsid w:val="007B3B24"/>
    <w:rsid w:val="007B5A3D"/>
    <w:rsid w:val="007B5B95"/>
    <w:rsid w:val="007B68EA"/>
    <w:rsid w:val="007B7453"/>
    <w:rsid w:val="007B7584"/>
    <w:rsid w:val="007C1E8B"/>
    <w:rsid w:val="007C2D89"/>
    <w:rsid w:val="007C4593"/>
    <w:rsid w:val="007C5309"/>
    <w:rsid w:val="007C6069"/>
    <w:rsid w:val="007D0134"/>
    <w:rsid w:val="007D06C4"/>
    <w:rsid w:val="007D1352"/>
    <w:rsid w:val="007D2508"/>
    <w:rsid w:val="007D346A"/>
    <w:rsid w:val="007D6518"/>
    <w:rsid w:val="007D76BD"/>
    <w:rsid w:val="007D7B12"/>
    <w:rsid w:val="007E0BF1"/>
    <w:rsid w:val="007E6840"/>
    <w:rsid w:val="007F0ED8"/>
    <w:rsid w:val="007F0F63"/>
    <w:rsid w:val="007F75CE"/>
    <w:rsid w:val="008013A4"/>
    <w:rsid w:val="008027CE"/>
    <w:rsid w:val="00802F42"/>
    <w:rsid w:val="00804383"/>
    <w:rsid w:val="0080483F"/>
    <w:rsid w:val="00804BB7"/>
    <w:rsid w:val="00804D41"/>
    <w:rsid w:val="00806C67"/>
    <w:rsid w:val="00810257"/>
    <w:rsid w:val="008104F5"/>
    <w:rsid w:val="00811072"/>
    <w:rsid w:val="00811369"/>
    <w:rsid w:val="008134DE"/>
    <w:rsid w:val="00815419"/>
    <w:rsid w:val="008163C8"/>
    <w:rsid w:val="008164A1"/>
    <w:rsid w:val="00817325"/>
    <w:rsid w:val="008209E6"/>
    <w:rsid w:val="00823303"/>
    <w:rsid w:val="008233B2"/>
    <w:rsid w:val="00823A9F"/>
    <w:rsid w:val="00823C85"/>
    <w:rsid w:val="00825138"/>
    <w:rsid w:val="008269DD"/>
    <w:rsid w:val="00830621"/>
    <w:rsid w:val="0083348C"/>
    <w:rsid w:val="00835470"/>
    <w:rsid w:val="008373D3"/>
    <w:rsid w:val="00840617"/>
    <w:rsid w:val="00840F84"/>
    <w:rsid w:val="00842A47"/>
    <w:rsid w:val="00843C13"/>
    <w:rsid w:val="008454F8"/>
    <w:rsid w:val="0085173A"/>
    <w:rsid w:val="00856316"/>
    <w:rsid w:val="008574FD"/>
    <w:rsid w:val="008603CE"/>
    <w:rsid w:val="008620FC"/>
    <w:rsid w:val="008627A5"/>
    <w:rsid w:val="00863C69"/>
    <w:rsid w:val="00863E05"/>
    <w:rsid w:val="00864010"/>
    <w:rsid w:val="00865ACA"/>
    <w:rsid w:val="00865D28"/>
    <w:rsid w:val="00865F85"/>
    <w:rsid w:val="00867C10"/>
    <w:rsid w:val="00870439"/>
    <w:rsid w:val="00870DA1"/>
    <w:rsid w:val="00871B3E"/>
    <w:rsid w:val="00883F80"/>
    <w:rsid w:val="00883F93"/>
    <w:rsid w:val="00884DB3"/>
    <w:rsid w:val="00885A9D"/>
    <w:rsid w:val="008863E7"/>
    <w:rsid w:val="008864F6"/>
    <w:rsid w:val="0089049D"/>
    <w:rsid w:val="008928C9"/>
    <w:rsid w:val="008930CB"/>
    <w:rsid w:val="008931B2"/>
    <w:rsid w:val="008938DC"/>
    <w:rsid w:val="00893FD1"/>
    <w:rsid w:val="00894836"/>
    <w:rsid w:val="00895172"/>
    <w:rsid w:val="00895680"/>
    <w:rsid w:val="00896DFF"/>
    <w:rsid w:val="0089762C"/>
    <w:rsid w:val="008A068A"/>
    <w:rsid w:val="008A1893"/>
    <w:rsid w:val="008A3215"/>
    <w:rsid w:val="008A57E6"/>
    <w:rsid w:val="008A6F81"/>
    <w:rsid w:val="008A769A"/>
    <w:rsid w:val="008A7A14"/>
    <w:rsid w:val="008B04A2"/>
    <w:rsid w:val="008B0C9C"/>
    <w:rsid w:val="008B166D"/>
    <w:rsid w:val="008B17F4"/>
    <w:rsid w:val="008B3615"/>
    <w:rsid w:val="008B4AC4"/>
    <w:rsid w:val="008B50C8"/>
    <w:rsid w:val="008B5281"/>
    <w:rsid w:val="008B6604"/>
    <w:rsid w:val="008B7E05"/>
    <w:rsid w:val="008C1797"/>
    <w:rsid w:val="008C219C"/>
    <w:rsid w:val="008C475E"/>
    <w:rsid w:val="008C619A"/>
    <w:rsid w:val="008C65D5"/>
    <w:rsid w:val="008C7CB6"/>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7C42"/>
    <w:rsid w:val="008F0CDC"/>
    <w:rsid w:val="008F17A3"/>
    <w:rsid w:val="008F1ED3"/>
    <w:rsid w:val="008F23A5"/>
    <w:rsid w:val="008F4C29"/>
    <w:rsid w:val="008F4F7C"/>
    <w:rsid w:val="008F70BD"/>
    <w:rsid w:val="008F788F"/>
    <w:rsid w:val="008F7EA2"/>
    <w:rsid w:val="00902722"/>
    <w:rsid w:val="009027BC"/>
    <w:rsid w:val="009062E6"/>
    <w:rsid w:val="009116B0"/>
    <w:rsid w:val="00911BE5"/>
    <w:rsid w:val="00913CA9"/>
    <w:rsid w:val="009145AE"/>
    <w:rsid w:val="009146CE"/>
    <w:rsid w:val="00914A15"/>
    <w:rsid w:val="00914CA7"/>
    <w:rsid w:val="00915A53"/>
    <w:rsid w:val="00915C3E"/>
    <w:rsid w:val="00915C84"/>
    <w:rsid w:val="009161A8"/>
    <w:rsid w:val="00923B7E"/>
    <w:rsid w:val="009245F5"/>
    <w:rsid w:val="009249EC"/>
    <w:rsid w:val="00924EBC"/>
    <w:rsid w:val="009273B3"/>
    <w:rsid w:val="009305B5"/>
    <w:rsid w:val="009338CA"/>
    <w:rsid w:val="009429D5"/>
    <w:rsid w:val="00942BF1"/>
    <w:rsid w:val="00945180"/>
    <w:rsid w:val="00945428"/>
    <w:rsid w:val="0094607B"/>
    <w:rsid w:val="009525CE"/>
    <w:rsid w:val="00953604"/>
    <w:rsid w:val="0095496B"/>
    <w:rsid w:val="0095599F"/>
    <w:rsid w:val="00957415"/>
    <w:rsid w:val="009578B1"/>
    <w:rsid w:val="009610DC"/>
    <w:rsid w:val="00961490"/>
    <w:rsid w:val="0096381A"/>
    <w:rsid w:val="00963DD1"/>
    <w:rsid w:val="00965469"/>
    <w:rsid w:val="00965E04"/>
    <w:rsid w:val="009674AD"/>
    <w:rsid w:val="00970CDC"/>
    <w:rsid w:val="00971D06"/>
    <w:rsid w:val="009735C9"/>
    <w:rsid w:val="0097587C"/>
    <w:rsid w:val="00977010"/>
    <w:rsid w:val="00977D02"/>
    <w:rsid w:val="009809BB"/>
    <w:rsid w:val="0098364B"/>
    <w:rsid w:val="009869C1"/>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A7B8D"/>
    <w:rsid w:val="009A7C6B"/>
    <w:rsid w:val="009B09E0"/>
    <w:rsid w:val="009B0BC5"/>
    <w:rsid w:val="009B1247"/>
    <w:rsid w:val="009B3F1C"/>
    <w:rsid w:val="009B4251"/>
    <w:rsid w:val="009B6029"/>
    <w:rsid w:val="009B6971"/>
    <w:rsid w:val="009C27F1"/>
    <w:rsid w:val="009C3152"/>
    <w:rsid w:val="009C4CFA"/>
    <w:rsid w:val="009C5070"/>
    <w:rsid w:val="009D112C"/>
    <w:rsid w:val="009D47FA"/>
    <w:rsid w:val="009D4C5B"/>
    <w:rsid w:val="009D50D2"/>
    <w:rsid w:val="009D6BCA"/>
    <w:rsid w:val="009E0F62"/>
    <w:rsid w:val="009E3D54"/>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5953"/>
    <w:rsid w:val="00A30EFC"/>
    <w:rsid w:val="00A31984"/>
    <w:rsid w:val="00A32D73"/>
    <w:rsid w:val="00A3367B"/>
    <w:rsid w:val="00A3597D"/>
    <w:rsid w:val="00A35E01"/>
    <w:rsid w:val="00A36DD1"/>
    <w:rsid w:val="00A4006C"/>
    <w:rsid w:val="00A40091"/>
    <w:rsid w:val="00A4030F"/>
    <w:rsid w:val="00A40BB6"/>
    <w:rsid w:val="00A41C79"/>
    <w:rsid w:val="00A41CB5"/>
    <w:rsid w:val="00A42CDF"/>
    <w:rsid w:val="00A43F36"/>
    <w:rsid w:val="00A4452E"/>
    <w:rsid w:val="00A4472C"/>
    <w:rsid w:val="00A44E69"/>
    <w:rsid w:val="00A46591"/>
    <w:rsid w:val="00A4661E"/>
    <w:rsid w:val="00A5193A"/>
    <w:rsid w:val="00A53315"/>
    <w:rsid w:val="00A55BD6"/>
    <w:rsid w:val="00A55D50"/>
    <w:rsid w:val="00A55EA3"/>
    <w:rsid w:val="00A566E2"/>
    <w:rsid w:val="00A57142"/>
    <w:rsid w:val="00A60CAA"/>
    <w:rsid w:val="00A63D05"/>
    <w:rsid w:val="00A648CD"/>
    <w:rsid w:val="00A6537A"/>
    <w:rsid w:val="00A67866"/>
    <w:rsid w:val="00A70B07"/>
    <w:rsid w:val="00A723F8"/>
    <w:rsid w:val="00A7409D"/>
    <w:rsid w:val="00A771D1"/>
    <w:rsid w:val="00A77CCB"/>
    <w:rsid w:val="00A800C4"/>
    <w:rsid w:val="00A81358"/>
    <w:rsid w:val="00A83D8D"/>
    <w:rsid w:val="00A8446B"/>
    <w:rsid w:val="00A8473F"/>
    <w:rsid w:val="00A862D6"/>
    <w:rsid w:val="00A8715E"/>
    <w:rsid w:val="00A9295B"/>
    <w:rsid w:val="00A93B09"/>
    <w:rsid w:val="00A94247"/>
    <w:rsid w:val="00A952D7"/>
    <w:rsid w:val="00A963F7"/>
    <w:rsid w:val="00A96AD8"/>
    <w:rsid w:val="00A97B76"/>
    <w:rsid w:val="00AA052C"/>
    <w:rsid w:val="00AA0F76"/>
    <w:rsid w:val="00AA1C4F"/>
    <w:rsid w:val="00AA1E45"/>
    <w:rsid w:val="00AA4286"/>
    <w:rsid w:val="00AA456B"/>
    <w:rsid w:val="00AA57F5"/>
    <w:rsid w:val="00AA672E"/>
    <w:rsid w:val="00AA6EC9"/>
    <w:rsid w:val="00AB41D5"/>
    <w:rsid w:val="00AB454B"/>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A0D"/>
    <w:rsid w:val="00AE5EB4"/>
    <w:rsid w:val="00AF0782"/>
    <w:rsid w:val="00AF0C18"/>
    <w:rsid w:val="00AF47C5"/>
    <w:rsid w:val="00AF5398"/>
    <w:rsid w:val="00B0206E"/>
    <w:rsid w:val="00B049AF"/>
    <w:rsid w:val="00B06A0B"/>
    <w:rsid w:val="00B07242"/>
    <w:rsid w:val="00B10534"/>
    <w:rsid w:val="00B113DB"/>
    <w:rsid w:val="00B11D8A"/>
    <w:rsid w:val="00B12864"/>
    <w:rsid w:val="00B12981"/>
    <w:rsid w:val="00B147DD"/>
    <w:rsid w:val="00B156FD"/>
    <w:rsid w:val="00B21F61"/>
    <w:rsid w:val="00B261F1"/>
    <w:rsid w:val="00B265BC"/>
    <w:rsid w:val="00B277DE"/>
    <w:rsid w:val="00B31FB1"/>
    <w:rsid w:val="00B33952"/>
    <w:rsid w:val="00B33C5E"/>
    <w:rsid w:val="00B342F4"/>
    <w:rsid w:val="00B34369"/>
    <w:rsid w:val="00B346D5"/>
    <w:rsid w:val="00B34DC2"/>
    <w:rsid w:val="00B378E5"/>
    <w:rsid w:val="00B4346D"/>
    <w:rsid w:val="00B440F4"/>
    <w:rsid w:val="00B447A5"/>
    <w:rsid w:val="00B453B5"/>
    <w:rsid w:val="00B4654C"/>
    <w:rsid w:val="00B47293"/>
    <w:rsid w:val="00B47639"/>
    <w:rsid w:val="00B50E50"/>
    <w:rsid w:val="00B52120"/>
    <w:rsid w:val="00B54ABC"/>
    <w:rsid w:val="00B54DDE"/>
    <w:rsid w:val="00B55A56"/>
    <w:rsid w:val="00B56FBE"/>
    <w:rsid w:val="00B60ACF"/>
    <w:rsid w:val="00B62B58"/>
    <w:rsid w:val="00B65149"/>
    <w:rsid w:val="00B66567"/>
    <w:rsid w:val="00B66F52"/>
    <w:rsid w:val="00B66FE5"/>
    <w:rsid w:val="00B70EE1"/>
    <w:rsid w:val="00B723F8"/>
    <w:rsid w:val="00B72880"/>
    <w:rsid w:val="00B758BF"/>
    <w:rsid w:val="00B7714A"/>
    <w:rsid w:val="00B77EC8"/>
    <w:rsid w:val="00B80D7C"/>
    <w:rsid w:val="00B82331"/>
    <w:rsid w:val="00B827A6"/>
    <w:rsid w:val="00B831CE"/>
    <w:rsid w:val="00B86677"/>
    <w:rsid w:val="00B87131"/>
    <w:rsid w:val="00B87A04"/>
    <w:rsid w:val="00B939B1"/>
    <w:rsid w:val="00B93A29"/>
    <w:rsid w:val="00B96D40"/>
    <w:rsid w:val="00B97386"/>
    <w:rsid w:val="00BA0507"/>
    <w:rsid w:val="00BA263B"/>
    <w:rsid w:val="00BA42B2"/>
    <w:rsid w:val="00BA58D4"/>
    <w:rsid w:val="00BA5B9E"/>
    <w:rsid w:val="00BA6F74"/>
    <w:rsid w:val="00BA7C9A"/>
    <w:rsid w:val="00BB0AE1"/>
    <w:rsid w:val="00BB31D8"/>
    <w:rsid w:val="00BB5F8F"/>
    <w:rsid w:val="00BB657A"/>
    <w:rsid w:val="00BC0F5F"/>
    <w:rsid w:val="00BC1A4E"/>
    <w:rsid w:val="00BC5DC7"/>
    <w:rsid w:val="00BC6B8B"/>
    <w:rsid w:val="00BC73D8"/>
    <w:rsid w:val="00BD52D7"/>
    <w:rsid w:val="00BD5AD2"/>
    <w:rsid w:val="00BE22F3"/>
    <w:rsid w:val="00BE509A"/>
    <w:rsid w:val="00BE5B52"/>
    <w:rsid w:val="00BE5DC4"/>
    <w:rsid w:val="00BE6F81"/>
    <w:rsid w:val="00BE7B8D"/>
    <w:rsid w:val="00BF0993"/>
    <w:rsid w:val="00BF10A9"/>
    <w:rsid w:val="00BF1596"/>
    <w:rsid w:val="00BF1703"/>
    <w:rsid w:val="00BF231C"/>
    <w:rsid w:val="00BF51E5"/>
    <w:rsid w:val="00BF54F8"/>
    <w:rsid w:val="00BF74A6"/>
    <w:rsid w:val="00C013AD"/>
    <w:rsid w:val="00C04904"/>
    <w:rsid w:val="00C05047"/>
    <w:rsid w:val="00C056B3"/>
    <w:rsid w:val="00C05C99"/>
    <w:rsid w:val="00C103E5"/>
    <w:rsid w:val="00C13319"/>
    <w:rsid w:val="00C13EE9"/>
    <w:rsid w:val="00C14B3E"/>
    <w:rsid w:val="00C152A5"/>
    <w:rsid w:val="00C170FF"/>
    <w:rsid w:val="00C21540"/>
    <w:rsid w:val="00C21906"/>
    <w:rsid w:val="00C21BFA"/>
    <w:rsid w:val="00C22148"/>
    <w:rsid w:val="00C24C8D"/>
    <w:rsid w:val="00C25FE2"/>
    <w:rsid w:val="00C26B53"/>
    <w:rsid w:val="00C279B2"/>
    <w:rsid w:val="00C32F95"/>
    <w:rsid w:val="00C33E50"/>
    <w:rsid w:val="00C34C20"/>
    <w:rsid w:val="00C35A3E"/>
    <w:rsid w:val="00C42130"/>
    <w:rsid w:val="00C423A4"/>
    <w:rsid w:val="00C44BF5"/>
    <w:rsid w:val="00C51ECC"/>
    <w:rsid w:val="00C51F53"/>
    <w:rsid w:val="00C521D6"/>
    <w:rsid w:val="00C53430"/>
    <w:rsid w:val="00C54701"/>
    <w:rsid w:val="00C55232"/>
    <w:rsid w:val="00C553A4"/>
    <w:rsid w:val="00C55A06"/>
    <w:rsid w:val="00C55D03"/>
    <w:rsid w:val="00C55D47"/>
    <w:rsid w:val="00C601BC"/>
    <w:rsid w:val="00C6329F"/>
    <w:rsid w:val="00C63340"/>
    <w:rsid w:val="00C643F9"/>
    <w:rsid w:val="00C64E95"/>
    <w:rsid w:val="00C6701F"/>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44A"/>
    <w:rsid w:val="00CB1A42"/>
    <w:rsid w:val="00CB1B0C"/>
    <w:rsid w:val="00CB2C0B"/>
    <w:rsid w:val="00CB517D"/>
    <w:rsid w:val="00CC038D"/>
    <w:rsid w:val="00CC08DB"/>
    <w:rsid w:val="00CC198E"/>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7BCE"/>
    <w:rsid w:val="00CE0C4F"/>
    <w:rsid w:val="00CE30EA"/>
    <w:rsid w:val="00CF048A"/>
    <w:rsid w:val="00CF155A"/>
    <w:rsid w:val="00CF2947"/>
    <w:rsid w:val="00CF686F"/>
    <w:rsid w:val="00CF6B8D"/>
    <w:rsid w:val="00CF6E60"/>
    <w:rsid w:val="00CF7BCA"/>
    <w:rsid w:val="00D008FD"/>
    <w:rsid w:val="00D0321C"/>
    <w:rsid w:val="00D035EC"/>
    <w:rsid w:val="00D055C7"/>
    <w:rsid w:val="00D06AB1"/>
    <w:rsid w:val="00D072ED"/>
    <w:rsid w:val="00D07A16"/>
    <w:rsid w:val="00D1067E"/>
    <w:rsid w:val="00D10F50"/>
    <w:rsid w:val="00D11272"/>
    <w:rsid w:val="00D126F5"/>
    <w:rsid w:val="00D1489E"/>
    <w:rsid w:val="00D14F4F"/>
    <w:rsid w:val="00D17BCD"/>
    <w:rsid w:val="00D20737"/>
    <w:rsid w:val="00D21E81"/>
    <w:rsid w:val="00D223DE"/>
    <w:rsid w:val="00D25E37"/>
    <w:rsid w:val="00D2661A"/>
    <w:rsid w:val="00D27582"/>
    <w:rsid w:val="00D27EC4"/>
    <w:rsid w:val="00D32719"/>
    <w:rsid w:val="00D33333"/>
    <w:rsid w:val="00D33457"/>
    <w:rsid w:val="00D352A2"/>
    <w:rsid w:val="00D3553E"/>
    <w:rsid w:val="00D4162B"/>
    <w:rsid w:val="00D4514F"/>
    <w:rsid w:val="00D451E2"/>
    <w:rsid w:val="00D45BBA"/>
    <w:rsid w:val="00D45E89"/>
    <w:rsid w:val="00D45E8D"/>
    <w:rsid w:val="00D46660"/>
    <w:rsid w:val="00D466AE"/>
    <w:rsid w:val="00D4734F"/>
    <w:rsid w:val="00D51BF3"/>
    <w:rsid w:val="00D530F4"/>
    <w:rsid w:val="00D56314"/>
    <w:rsid w:val="00D66846"/>
    <w:rsid w:val="00D675FB"/>
    <w:rsid w:val="00D70779"/>
    <w:rsid w:val="00D71F25"/>
    <w:rsid w:val="00D72A9C"/>
    <w:rsid w:val="00D77031"/>
    <w:rsid w:val="00D81836"/>
    <w:rsid w:val="00D84941"/>
    <w:rsid w:val="00D84FA1"/>
    <w:rsid w:val="00D851F0"/>
    <w:rsid w:val="00D85F71"/>
    <w:rsid w:val="00D86B60"/>
    <w:rsid w:val="00D86DB7"/>
    <w:rsid w:val="00D926D0"/>
    <w:rsid w:val="00D93030"/>
    <w:rsid w:val="00D9303F"/>
    <w:rsid w:val="00D9313C"/>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2311"/>
    <w:rsid w:val="00DC3067"/>
    <w:rsid w:val="00DC370B"/>
    <w:rsid w:val="00DC3E9D"/>
    <w:rsid w:val="00DC5B90"/>
    <w:rsid w:val="00DD00FF"/>
    <w:rsid w:val="00DD0619"/>
    <w:rsid w:val="00DD07FB"/>
    <w:rsid w:val="00DD1F50"/>
    <w:rsid w:val="00DD25C6"/>
    <w:rsid w:val="00DD4FE5"/>
    <w:rsid w:val="00DD54B0"/>
    <w:rsid w:val="00DD57EE"/>
    <w:rsid w:val="00DD6BCC"/>
    <w:rsid w:val="00DE0A4B"/>
    <w:rsid w:val="00DE2410"/>
    <w:rsid w:val="00DE2939"/>
    <w:rsid w:val="00DE58B2"/>
    <w:rsid w:val="00DE6E81"/>
    <w:rsid w:val="00DE703F"/>
    <w:rsid w:val="00DE7595"/>
    <w:rsid w:val="00DF17FA"/>
    <w:rsid w:val="00DF1961"/>
    <w:rsid w:val="00DF1F5D"/>
    <w:rsid w:val="00DF44DE"/>
    <w:rsid w:val="00DF5F11"/>
    <w:rsid w:val="00E01138"/>
    <w:rsid w:val="00E02DFB"/>
    <w:rsid w:val="00E030F9"/>
    <w:rsid w:val="00E0311A"/>
    <w:rsid w:val="00E03138"/>
    <w:rsid w:val="00E05052"/>
    <w:rsid w:val="00E06404"/>
    <w:rsid w:val="00E07633"/>
    <w:rsid w:val="00E10F34"/>
    <w:rsid w:val="00E11A85"/>
    <w:rsid w:val="00E12495"/>
    <w:rsid w:val="00E12608"/>
    <w:rsid w:val="00E15CCD"/>
    <w:rsid w:val="00E202EF"/>
    <w:rsid w:val="00E20D41"/>
    <w:rsid w:val="00E210B5"/>
    <w:rsid w:val="00E21F4A"/>
    <w:rsid w:val="00E23D99"/>
    <w:rsid w:val="00E246B5"/>
    <w:rsid w:val="00E2552F"/>
    <w:rsid w:val="00E261BE"/>
    <w:rsid w:val="00E27156"/>
    <w:rsid w:val="00E31158"/>
    <w:rsid w:val="00E3137A"/>
    <w:rsid w:val="00E325B8"/>
    <w:rsid w:val="00E32CCF"/>
    <w:rsid w:val="00E34A98"/>
    <w:rsid w:val="00E3537D"/>
    <w:rsid w:val="00E35D1E"/>
    <w:rsid w:val="00E364F9"/>
    <w:rsid w:val="00E365FA"/>
    <w:rsid w:val="00E36789"/>
    <w:rsid w:val="00E44A83"/>
    <w:rsid w:val="00E44DEB"/>
    <w:rsid w:val="00E502C1"/>
    <w:rsid w:val="00E502DD"/>
    <w:rsid w:val="00E50D3A"/>
    <w:rsid w:val="00E51387"/>
    <w:rsid w:val="00E51E68"/>
    <w:rsid w:val="00E52EFD"/>
    <w:rsid w:val="00E5408A"/>
    <w:rsid w:val="00E56800"/>
    <w:rsid w:val="00E60C63"/>
    <w:rsid w:val="00E62B62"/>
    <w:rsid w:val="00E62FF9"/>
    <w:rsid w:val="00E635D6"/>
    <w:rsid w:val="00E639BC"/>
    <w:rsid w:val="00E664CC"/>
    <w:rsid w:val="00E70388"/>
    <w:rsid w:val="00E70F92"/>
    <w:rsid w:val="00E74C54"/>
    <w:rsid w:val="00E75EA2"/>
    <w:rsid w:val="00E77A03"/>
    <w:rsid w:val="00E822E8"/>
    <w:rsid w:val="00E82554"/>
    <w:rsid w:val="00E82606"/>
    <w:rsid w:val="00E846C8"/>
    <w:rsid w:val="00E84917"/>
    <w:rsid w:val="00E84957"/>
    <w:rsid w:val="00E84A55"/>
    <w:rsid w:val="00E85BFF"/>
    <w:rsid w:val="00E90391"/>
    <w:rsid w:val="00E906C2"/>
    <w:rsid w:val="00E9311F"/>
    <w:rsid w:val="00E934D1"/>
    <w:rsid w:val="00E94AF0"/>
    <w:rsid w:val="00E95D13"/>
    <w:rsid w:val="00E95DD3"/>
    <w:rsid w:val="00E969D5"/>
    <w:rsid w:val="00EA2304"/>
    <w:rsid w:val="00EA58D1"/>
    <w:rsid w:val="00EA61BC"/>
    <w:rsid w:val="00EA681A"/>
    <w:rsid w:val="00EA735B"/>
    <w:rsid w:val="00EB17DE"/>
    <w:rsid w:val="00EB1E69"/>
    <w:rsid w:val="00EB2086"/>
    <w:rsid w:val="00EB2C2E"/>
    <w:rsid w:val="00EB3ACB"/>
    <w:rsid w:val="00EB5EDF"/>
    <w:rsid w:val="00EB60FE"/>
    <w:rsid w:val="00EB74DB"/>
    <w:rsid w:val="00EC5359"/>
    <w:rsid w:val="00EC562A"/>
    <w:rsid w:val="00ED054B"/>
    <w:rsid w:val="00ED067A"/>
    <w:rsid w:val="00ED1FA6"/>
    <w:rsid w:val="00ED2B50"/>
    <w:rsid w:val="00ED412C"/>
    <w:rsid w:val="00ED5478"/>
    <w:rsid w:val="00EE0350"/>
    <w:rsid w:val="00EE0719"/>
    <w:rsid w:val="00EE0E80"/>
    <w:rsid w:val="00EE54A6"/>
    <w:rsid w:val="00EE613F"/>
    <w:rsid w:val="00EE7295"/>
    <w:rsid w:val="00EE7869"/>
    <w:rsid w:val="00EF054A"/>
    <w:rsid w:val="00EF3235"/>
    <w:rsid w:val="00EF6A79"/>
    <w:rsid w:val="00EF7E72"/>
    <w:rsid w:val="00F06D37"/>
    <w:rsid w:val="00F07B9D"/>
    <w:rsid w:val="00F11586"/>
    <w:rsid w:val="00F1183B"/>
    <w:rsid w:val="00F11C9F"/>
    <w:rsid w:val="00F12263"/>
    <w:rsid w:val="00F1409D"/>
    <w:rsid w:val="00F14214"/>
    <w:rsid w:val="00F157A9"/>
    <w:rsid w:val="00F2205C"/>
    <w:rsid w:val="00F254DD"/>
    <w:rsid w:val="00F25BB6"/>
    <w:rsid w:val="00F26B7E"/>
    <w:rsid w:val="00F27A3B"/>
    <w:rsid w:val="00F32F63"/>
    <w:rsid w:val="00F33817"/>
    <w:rsid w:val="00F420D5"/>
    <w:rsid w:val="00F451EA"/>
    <w:rsid w:val="00F45447"/>
    <w:rsid w:val="00F456C6"/>
    <w:rsid w:val="00F4577B"/>
    <w:rsid w:val="00F46496"/>
    <w:rsid w:val="00F46BCF"/>
    <w:rsid w:val="00F474D0"/>
    <w:rsid w:val="00F50113"/>
    <w:rsid w:val="00F50179"/>
    <w:rsid w:val="00F510C8"/>
    <w:rsid w:val="00F515EE"/>
    <w:rsid w:val="00F56511"/>
    <w:rsid w:val="00F56AA4"/>
    <w:rsid w:val="00F57554"/>
    <w:rsid w:val="00F57802"/>
    <w:rsid w:val="00F6154A"/>
    <w:rsid w:val="00F6194E"/>
    <w:rsid w:val="00F623AC"/>
    <w:rsid w:val="00F6412A"/>
    <w:rsid w:val="00F65893"/>
    <w:rsid w:val="00F66A4A"/>
    <w:rsid w:val="00F71E22"/>
    <w:rsid w:val="00F72142"/>
    <w:rsid w:val="00F72AE7"/>
    <w:rsid w:val="00F81141"/>
    <w:rsid w:val="00F833BA"/>
    <w:rsid w:val="00F84FD0"/>
    <w:rsid w:val="00F859A8"/>
    <w:rsid w:val="00F86D87"/>
    <w:rsid w:val="00F90965"/>
    <w:rsid w:val="00F9108B"/>
    <w:rsid w:val="00F91349"/>
    <w:rsid w:val="00F93A8A"/>
    <w:rsid w:val="00F95248"/>
    <w:rsid w:val="00F956A9"/>
    <w:rsid w:val="00F963ED"/>
    <w:rsid w:val="00F966CF"/>
    <w:rsid w:val="00F96CAE"/>
    <w:rsid w:val="00F97C99"/>
    <w:rsid w:val="00FA0A0D"/>
    <w:rsid w:val="00FA41AF"/>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3F05"/>
    <w:rsid w:val="00FD59EB"/>
    <w:rsid w:val="00FD7299"/>
    <w:rsid w:val="00FE1FBE"/>
    <w:rsid w:val="00FE3901"/>
    <w:rsid w:val="00FE39D3"/>
    <w:rsid w:val="00FE4BCE"/>
    <w:rsid w:val="00FE54AE"/>
    <w:rsid w:val="00FE576A"/>
    <w:rsid w:val="00FE7E79"/>
    <w:rsid w:val="00FF3BBA"/>
    <w:rsid w:val="00FF3E7D"/>
    <w:rsid w:val="00FF5B99"/>
    <w:rsid w:val="00FF730C"/>
    <w:rsid w:val="00FF73F4"/>
    <w:rsid w:val="00FF7CE4"/>
    <w:rsid w:val="00FF7E39"/>
    <w:rsid w:val="01014E5D"/>
    <w:rsid w:val="01F800AF"/>
    <w:rsid w:val="02E95135"/>
    <w:rsid w:val="05634786"/>
    <w:rsid w:val="080A4C3C"/>
    <w:rsid w:val="0E00512D"/>
    <w:rsid w:val="0F5E5222"/>
    <w:rsid w:val="11CF1C03"/>
    <w:rsid w:val="211829E4"/>
    <w:rsid w:val="21A63C04"/>
    <w:rsid w:val="2527772B"/>
    <w:rsid w:val="288C0C65"/>
    <w:rsid w:val="2CA312DE"/>
    <w:rsid w:val="343E08E2"/>
    <w:rsid w:val="3AB832EA"/>
    <w:rsid w:val="3E5C591E"/>
    <w:rsid w:val="4BB7298F"/>
    <w:rsid w:val="500714CE"/>
    <w:rsid w:val="50DB6B76"/>
    <w:rsid w:val="514A6C5C"/>
    <w:rsid w:val="69AC664B"/>
    <w:rsid w:val="7E851805"/>
    <w:rsid w:val="7FDE335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0"/>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1"/>
    <w:qFormat/>
    <w:uiPriority w:val="0"/>
    <w:pPr>
      <w:keepNext/>
      <w:keepLines/>
      <w:spacing w:before="260" w:after="260" w:line="416" w:lineRule="auto"/>
      <w:outlineLvl w:val="2"/>
    </w:pPr>
    <w:rPr>
      <w:b/>
      <w:bCs/>
      <w:sz w:val="32"/>
      <w:szCs w:val="32"/>
    </w:rPr>
  </w:style>
  <w:style w:type="paragraph" w:styleId="5">
    <w:name w:val="heading 4"/>
    <w:basedOn w:val="1"/>
    <w:next w:val="1"/>
    <w:link w:val="4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3"/>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4"/>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5"/>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6"/>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7"/>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qFormat/>
    <w:uiPriority w:val="1"/>
  </w:style>
  <w:style w:type="table" w:default="1" w:styleId="29">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35"/>
    <w:semiHidden/>
    <w:unhideWhenUsed/>
    <w:qFormat/>
    <w:uiPriority w:val="99"/>
    <w:rPr>
      <w:rFonts w:ascii="宋体"/>
      <w:sz w:val="18"/>
      <w:szCs w:val="18"/>
    </w:rPr>
  </w:style>
  <w:style w:type="paragraph" w:styleId="14">
    <w:name w:val="annotation text"/>
    <w:basedOn w:val="1"/>
    <w:link w:val="240"/>
    <w:semiHidden/>
    <w:unhideWhenUsed/>
    <w:qFormat/>
    <w:uiPriority w:val="99"/>
    <w:pPr>
      <w:adjustRightInd/>
      <w:spacing w:line="240" w:lineRule="auto"/>
      <w:jc w:val="left"/>
    </w:pPr>
    <w:rPr>
      <w:rFonts w:ascii="Times New Roman" w:hAnsi="Times New Roman"/>
      <w:szCs w:val="24"/>
    </w:rPr>
  </w:style>
  <w:style w:type="paragraph" w:styleId="15">
    <w:name w:val="Body Text"/>
    <w:basedOn w:val="1"/>
    <w:link w:val="91"/>
    <w:qFormat/>
    <w:uiPriority w:val="0"/>
    <w:pPr>
      <w:spacing w:after="120"/>
    </w:pPr>
  </w:style>
  <w:style w:type="paragraph" w:styleId="16">
    <w:name w:val="toc 5"/>
    <w:basedOn w:val="1"/>
    <w:next w:val="1"/>
    <w:unhideWhenUsed/>
    <w:qFormat/>
    <w:uiPriority w:val="39"/>
    <w:pPr>
      <w:ind w:left="839"/>
    </w:pPr>
    <w:rPr>
      <w:rFonts w:ascii="宋体"/>
    </w:rPr>
  </w:style>
  <w:style w:type="paragraph" w:styleId="17">
    <w:name w:val="toc 3"/>
    <w:basedOn w:val="1"/>
    <w:next w:val="1"/>
    <w:unhideWhenUsed/>
    <w:qFormat/>
    <w:uiPriority w:val="39"/>
    <w:pPr>
      <w:spacing w:line="300" w:lineRule="exact"/>
      <w:ind w:left="420"/>
    </w:pPr>
    <w:rPr>
      <w:rFonts w:ascii="宋体"/>
    </w:rPr>
  </w:style>
  <w:style w:type="paragraph" w:styleId="18">
    <w:name w:val="Balloon Text"/>
    <w:basedOn w:val="1"/>
    <w:link w:val="50"/>
    <w:semiHidden/>
    <w:unhideWhenUsed/>
    <w:qFormat/>
    <w:uiPriority w:val="99"/>
    <w:rPr>
      <w:sz w:val="18"/>
      <w:szCs w:val="18"/>
    </w:rPr>
  </w:style>
  <w:style w:type="paragraph" w:styleId="19">
    <w:name w:val="footer"/>
    <w:basedOn w:val="1"/>
    <w:link w:val="49"/>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8"/>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4"/>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Title"/>
    <w:basedOn w:val="1"/>
    <w:link w:val="53"/>
    <w:qFormat/>
    <w:uiPriority w:val="0"/>
    <w:pPr>
      <w:spacing w:before="240" w:after="60"/>
      <w:jc w:val="center"/>
      <w:outlineLvl w:val="0"/>
    </w:pPr>
    <w:rPr>
      <w:rFonts w:ascii="Arial" w:hAnsi="Arial" w:cs="Arial"/>
      <w:b/>
      <w:bCs/>
      <w:sz w:val="32"/>
      <w:szCs w:val="32"/>
    </w:rPr>
  </w:style>
  <w:style w:type="paragraph" w:styleId="28">
    <w:name w:val="annotation subject"/>
    <w:basedOn w:val="14"/>
    <w:next w:val="14"/>
    <w:link w:val="242"/>
    <w:semiHidden/>
    <w:unhideWhenUsed/>
    <w:qFormat/>
    <w:uiPriority w:val="99"/>
    <w:pPr>
      <w:adjustRightInd w:val="0"/>
      <w:spacing w:line="400" w:lineRule="exact"/>
    </w:pPr>
    <w:rPr>
      <w:rFonts w:ascii="Calibri" w:hAnsi="Calibri"/>
      <w:b/>
      <w:bCs/>
      <w:szCs w:val="21"/>
    </w:r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2">
    <w:name w:val="Strong"/>
    <w:qFormat/>
    <w:uiPriority w:val="22"/>
    <w:rPr>
      <w:b/>
      <w:bCs/>
    </w:rPr>
  </w:style>
  <w:style w:type="character" w:styleId="33">
    <w:name w:val="page number"/>
    <w:qFormat/>
    <w:uiPriority w:val="0"/>
    <w:rPr>
      <w:rFonts w:ascii="宋体" w:hAnsi="Times New Roman" w:eastAsia="宋体"/>
      <w:sz w:val="18"/>
    </w:rPr>
  </w:style>
  <w:style w:type="character" w:styleId="34">
    <w:name w:val="FollowedHyperlink"/>
    <w:basedOn w:val="31"/>
    <w:semiHidden/>
    <w:unhideWhenUsed/>
    <w:qFormat/>
    <w:uiPriority w:val="99"/>
    <w:rPr>
      <w:color w:val="954F72" w:themeColor="followedHyperlink"/>
      <w:u w:val="single"/>
      <w14:textFill>
        <w14:solidFill>
          <w14:schemeClr w14:val="folHlink"/>
        </w14:solidFill>
      </w14:textFill>
    </w:rPr>
  </w:style>
  <w:style w:type="character" w:styleId="35">
    <w:name w:val="Emphasis"/>
    <w:qFormat/>
    <w:uiPriority w:val="20"/>
    <w:rPr>
      <w:i/>
      <w:iCs/>
    </w:rPr>
  </w:style>
  <w:style w:type="character" w:styleId="36">
    <w:name w:val="Hyperlink"/>
    <w:qFormat/>
    <w:uiPriority w:val="99"/>
    <w:rPr>
      <w:rFonts w:ascii="宋体" w:hAnsi="Times New Roman" w:eastAsia="宋体"/>
      <w:color w:val="auto"/>
      <w:spacing w:val="0"/>
      <w:w w:val="100"/>
      <w:position w:val="0"/>
      <w:sz w:val="21"/>
      <w:u w:val="none"/>
      <w:vertAlign w:val="baseline"/>
    </w:rPr>
  </w:style>
  <w:style w:type="character" w:styleId="37">
    <w:name w:val="annotation reference"/>
    <w:basedOn w:val="31"/>
    <w:semiHidden/>
    <w:unhideWhenUsed/>
    <w:qFormat/>
    <w:uiPriority w:val="99"/>
    <w:rPr>
      <w:sz w:val="21"/>
      <w:szCs w:val="21"/>
    </w:rPr>
  </w:style>
  <w:style w:type="character" w:styleId="38">
    <w:name w:val="footnote reference"/>
    <w:semiHidden/>
    <w:qFormat/>
    <w:uiPriority w:val="0"/>
    <w:rPr>
      <w:rFonts w:ascii="宋体" w:hAnsi="宋体" w:eastAsia="宋体" w:cs="Times New Roman"/>
      <w:spacing w:val="0"/>
      <w:sz w:val="18"/>
      <w:vertAlign w:val="superscript"/>
    </w:rPr>
  </w:style>
  <w:style w:type="character" w:customStyle="1" w:styleId="39">
    <w:name w:val="标题 1 Char"/>
    <w:link w:val="2"/>
    <w:qFormat/>
    <w:uiPriority w:val="0"/>
    <w:rPr>
      <w:rFonts w:ascii="Times New Roman" w:hAnsi="Times New Roman" w:eastAsia="宋体" w:cs="Times New Roman"/>
      <w:b/>
      <w:bCs/>
      <w:kern w:val="44"/>
      <w:sz w:val="44"/>
      <w:szCs w:val="44"/>
    </w:rPr>
  </w:style>
  <w:style w:type="character" w:customStyle="1" w:styleId="40">
    <w:name w:val="标题 2 Char"/>
    <w:link w:val="3"/>
    <w:qFormat/>
    <w:uiPriority w:val="0"/>
    <w:rPr>
      <w:rFonts w:ascii="Arial" w:hAnsi="Arial" w:eastAsia="黑体" w:cs="Times New Roman"/>
      <w:b/>
      <w:bCs/>
      <w:sz w:val="32"/>
      <w:szCs w:val="32"/>
    </w:rPr>
  </w:style>
  <w:style w:type="character" w:customStyle="1" w:styleId="41">
    <w:name w:val="标题 3 Char"/>
    <w:link w:val="4"/>
    <w:qFormat/>
    <w:uiPriority w:val="0"/>
    <w:rPr>
      <w:rFonts w:ascii="Times New Roman" w:hAnsi="Times New Roman" w:eastAsia="宋体" w:cs="Times New Roman"/>
      <w:b/>
      <w:bCs/>
      <w:sz w:val="32"/>
      <w:szCs w:val="32"/>
    </w:rPr>
  </w:style>
  <w:style w:type="character" w:customStyle="1" w:styleId="42">
    <w:name w:val="标题 4 Char"/>
    <w:link w:val="5"/>
    <w:qFormat/>
    <w:uiPriority w:val="0"/>
    <w:rPr>
      <w:rFonts w:ascii="Arial" w:hAnsi="Arial" w:eastAsia="黑体" w:cs="Times New Roman"/>
      <w:b/>
      <w:bCs/>
      <w:sz w:val="28"/>
      <w:szCs w:val="28"/>
    </w:rPr>
  </w:style>
  <w:style w:type="character" w:customStyle="1" w:styleId="43">
    <w:name w:val="标题 5 Char"/>
    <w:link w:val="6"/>
    <w:qFormat/>
    <w:uiPriority w:val="0"/>
    <w:rPr>
      <w:rFonts w:ascii="Times New Roman" w:hAnsi="Times New Roman" w:eastAsia="宋体" w:cs="Times New Roman"/>
      <w:b/>
      <w:bCs/>
      <w:sz w:val="28"/>
      <w:szCs w:val="28"/>
    </w:rPr>
  </w:style>
  <w:style w:type="character" w:customStyle="1" w:styleId="44">
    <w:name w:val="标题 6 Char"/>
    <w:link w:val="7"/>
    <w:qFormat/>
    <w:uiPriority w:val="0"/>
    <w:rPr>
      <w:rFonts w:ascii="Arial" w:hAnsi="Arial" w:eastAsia="黑体" w:cs="Times New Roman"/>
      <w:b/>
      <w:bCs/>
      <w:sz w:val="24"/>
      <w:szCs w:val="24"/>
    </w:rPr>
  </w:style>
  <w:style w:type="character" w:customStyle="1" w:styleId="45">
    <w:name w:val="标题 7 Char"/>
    <w:link w:val="8"/>
    <w:qFormat/>
    <w:uiPriority w:val="0"/>
    <w:rPr>
      <w:rFonts w:ascii="Times New Roman" w:hAnsi="Times New Roman" w:eastAsia="宋体" w:cs="Times New Roman"/>
      <w:b/>
      <w:bCs/>
      <w:sz w:val="24"/>
      <w:szCs w:val="24"/>
    </w:rPr>
  </w:style>
  <w:style w:type="character" w:customStyle="1" w:styleId="46">
    <w:name w:val="标题 8 Char"/>
    <w:link w:val="9"/>
    <w:qFormat/>
    <w:uiPriority w:val="0"/>
    <w:rPr>
      <w:rFonts w:ascii="Arial" w:hAnsi="Arial" w:eastAsia="黑体" w:cs="Times New Roman"/>
      <w:sz w:val="24"/>
      <w:szCs w:val="24"/>
    </w:rPr>
  </w:style>
  <w:style w:type="character" w:customStyle="1" w:styleId="47">
    <w:name w:val="标题 9 Char"/>
    <w:link w:val="10"/>
    <w:qFormat/>
    <w:uiPriority w:val="0"/>
    <w:rPr>
      <w:rFonts w:ascii="Arial" w:hAnsi="Arial" w:eastAsia="黑体" w:cs="Times New Roman"/>
      <w:szCs w:val="21"/>
    </w:rPr>
  </w:style>
  <w:style w:type="character" w:customStyle="1" w:styleId="48">
    <w:name w:val="页眉 Char"/>
    <w:link w:val="20"/>
    <w:qFormat/>
    <w:uiPriority w:val="99"/>
    <w:rPr>
      <w:rFonts w:ascii="Times New Roman" w:hAnsi="Times New Roman" w:eastAsia="宋体" w:cs="Times New Roman"/>
      <w:sz w:val="18"/>
      <w:szCs w:val="18"/>
    </w:rPr>
  </w:style>
  <w:style w:type="character" w:customStyle="1" w:styleId="49">
    <w:name w:val="页脚 Char"/>
    <w:link w:val="19"/>
    <w:qFormat/>
    <w:uiPriority w:val="99"/>
    <w:rPr>
      <w:rFonts w:ascii="宋体" w:hAnsi="Times New Roman" w:eastAsia="宋体" w:cs="Times New Roman"/>
      <w:sz w:val="18"/>
      <w:szCs w:val="18"/>
    </w:rPr>
  </w:style>
  <w:style w:type="character" w:customStyle="1" w:styleId="50">
    <w:name w:val="批注框文本 Char"/>
    <w:link w:val="18"/>
    <w:semiHidden/>
    <w:qFormat/>
    <w:uiPriority w:val="99"/>
    <w:rPr>
      <w:sz w:val="18"/>
      <w:szCs w:val="18"/>
    </w:rPr>
  </w:style>
  <w:style w:type="paragraph" w:styleId="51">
    <w:name w:val="Quote"/>
    <w:basedOn w:val="1"/>
    <w:next w:val="1"/>
    <w:link w:val="52"/>
    <w:qFormat/>
    <w:uiPriority w:val="29"/>
    <w:rPr>
      <w:i/>
      <w:iCs/>
      <w:color w:val="000000"/>
    </w:rPr>
  </w:style>
  <w:style w:type="character" w:customStyle="1" w:styleId="52">
    <w:name w:val="引用 Char"/>
    <w:link w:val="51"/>
    <w:qFormat/>
    <w:uiPriority w:val="29"/>
    <w:rPr>
      <w:i/>
      <w:iCs/>
      <w:color w:val="000000"/>
    </w:rPr>
  </w:style>
  <w:style w:type="character" w:customStyle="1" w:styleId="53">
    <w:name w:val="标题 Char"/>
    <w:link w:val="27"/>
    <w:qFormat/>
    <w:uiPriority w:val="0"/>
    <w:rPr>
      <w:rFonts w:ascii="Arial" w:hAnsi="Arial" w:eastAsia="宋体" w:cs="Arial"/>
      <w:b/>
      <w:bCs/>
      <w:sz w:val="32"/>
      <w:szCs w:val="32"/>
    </w:rPr>
  </w:style>
  <w:style w:type="paragraph" w:customStyle="1" w:styleId="54">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5">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6">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7">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8">
    <w:name w:val="标准书眉一"/>
    <w:qFormat/>
    <w:uiPriority w:val="0"/>
    <w:pPr>
      <w:jc w:val="both"/>
    </w:pPr>
    <w:rPr>
      <w:rFonts w:ascii="Times New Roman" w:hAnsi="Times New Roman" w:eastAsia="宋体" w:cs="Times New Roman"/>
      <w:lang w:val="en-US" w:eastAsia="zh-CN" w:bidi="ar-SA"/>
    </w:rPr>
  </w:style>
  <w:style w:type="paragraph" w:customStyle="1" w:styleId="59">
    <w:name w:val="标准文件_ICS"/>
    <w:basedOn w:val="1"/>
    <w:qFormat/>
    <w:uiPriority w:val="0"/>
    <w:pPr>
      <w:spacing w:line="0" w:lineRule="atLeast"/>
    </w:pPr>
    <w:rPr>
      <w:rFonts w:ascii="黑体" w:hAnsi="宋体" w:eastAsia="黑体"/>
    </w:rPr>
  </w:style>
  <w:style w:type="paragraph" w:customStyle="1" w:styleId="60">
    <w:name w:val="标准文件_标准正文"/>
    <w:basedOn w:val="1"/>
    <w:next w:val="61"/>
    <w:qFormat/>
    <w:uiPriority w:val="0"/>
    <w:pPr>
      <w:snapToGrid w:val="0"/>
      <w:ind w:firstLine="200" w:firstLineChars="200"/>
    </w:pPr>
    <w:rPr>
      <w:kern w:val="0"/>
    </w:rPr>
  </w:style>
  <w:style w:type="paragraph" w:customStyle="1" w:styleId="61">
    <w:name w:val="标准文件_段"/>
    <w:link w:val="189"/>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2">
    <w:name w:val="标准文件_版本"/>
    <w:basedOn w:val="60"/>
    <w:qFormat/>
    <w:uiPriority w:val="0"/>
    <w:pPr>
      <w:adjustRightInd/>
      <w:snapToGrid/>
      <w:ind w:firstLine="0" w:firstLineChars="0"/>
    </w:pPr>
    <w:rPr>
      <w:rFonts w:ascii="宋体" w:hAnsi="宋体"/>
      <w:kern w:val="2"/>
    </w:rPr>
  </w:style>
  <w:style w:type="paragraph" w:customStyle="1" w:styleId="63">
    <w:name w:val="标准文件_标准部门"/>
    <w:basedOn w:val="1"/>
    <w:qFormat/>
    <w:uiPriority w:val="0"/>
    <w:pPr>
      <w:jc w:val="center"/>
    </w:pPr>
    <w:rPr>
      <w:rFonts w:ascii="黑体" w:eastAsia="黑体"/>
      <w:kern w:val="0"/>
      <w:sz w:val="44"/>
    </w:rPr>
  </w:style>
  <w:style w:type="paragraph" w:customStyle="1" w:styleId="64">
    <w:name w:val="标准文件_标准代替"/>
    <w:basedOn w:val="1"/>
    <w:next w:val="1"/>
    <w:qFormat/>
    <w:uiPriority w:val="0"/>
    <w:pPr>
      <w:spacing w:line="310" w:lineRule="exact"/>
      <w:jc w:val="right"/>
    </w:pPr>
    <w:rPr>
      <w:rFonts w:ascii="宋体" w:hAnsi="宋体"/>
      <w:kern w:val="0"/>
    </w:rPr>
  </w:style>
  <w:style w:type="paragraph" w:customStyle="1" w:styleId="65">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6">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7">
    <w:name w:val="标准文件_页眉偶数页"/>
    <w:basedOn w:val="66"/>
    <w:next w:val="1"/>
    <w:qFormat/>
    <w:uiPriority w:val="0"/>
    <w:pPr>
      <w:jc w:val="left"/>
    </w:pPr>
  </w:style>
  <w:style w:type="paragraph" w:customStyle="1" w:styleId="68">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9">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70">
    <w:name w:val="标准文件_二级条标题"/>
    <w:next w:val="61"/>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71">
    <w:name w:val="标准文件_发布"/>
    <w:qFormat/>
    <w:uiPriority w:val="0"/>
    <w:rPr>
      <w:rFonts w:ascii="黑体" w:eastAsia="黑体"/>
      <w:spacing w:val="0"/>
      <w:w w:val="100"/>
      <w:position w:val="3"/>
      <w:sz w:val="28"/>
    </w:rPr>
  </w:style>
  <w:style w:type="paragraph" w:customStyle="1" w:styleId="72">
    <w:name w:val="标准文件_方框数字列项"/>
    <w:basedOn w:val="61"/>
    <w:qFormat/>
    <w:uiPriority w:val="0"/>
    <w:pPr>
      <w:numPr>
        <w:ilvl w:val="0"/>
        <w:numId w:val="3"/>
      </w:numPr>
      <w:ind w:firstLine="0" w:firstLineChars="0"/>
    </w:pPr>
  </w:style>
  <w:style w:type="paragraph" w:customStyle="1" w:styleId="73">
    <w:name w:val="标准文件_封面标准编号"/>
    <w:basedOn w:val="1"/>
    <w:next w:val="64"/>
    <w:qFormat/>
    <w:uiPriority w:val="0"/>
    <w:pPr>
      <w:spacing w:line="310" w:lineRule="exact"/>
      <w:jc w:val="right"/>
    </w:pPr>
    <w:rPr>
      <w:rFonts w:ascii="黑体" w:eastAsia="黑体"/>
      <w:kern w:val="0"/>
      <w:sz w:val="28"/>
    </w:rPr>
  </w:style>
  <w:style w:type="paragraph" w:customStyle="1" w:styleId="74">
    <w:name w:val="标准文件_封面标准分类号"/>
    <w:basedOn w:val="1"/>
    <w:qFormat/>
    <w:uiPriority w:val="0"/>
    <w:rPr>
      <w:rFonts w:ascii="黑体" w:eastAsia="黑体"/>
      <w:b/>
      <w:kern w:val="0"/>
      <w:sz w:val="28"/>
    </w:rPr>
  </w:style>
  <w:style w:type="paragraph" w:customStyle="1" w:styleId="75">
    <w:name w:val="标准文件_封面标准名称"/>
    <w:basedOn w:val="1"/>
    <w:qFormat/>
    <w:uiPriority w:val="0"/>
    <w:pPr>
      <w:spacing w:line="240" w:lineRule="auto"/>
      <w:jc w:val="center"/>
    </w:pPr>
    <w:rPr>
      <w:rFonts w:ascii="黑体" w:eastAsia="黑体"/>
      <w:kern w:val="0"/>
      <w:sz w:val="52"/>
    </w:rPr>
  </w:style>
  <w:style w:type="paragraph" w:customStyle="1" w:styleId="76">
    <w:name w:val="标准文件_封面标准英文名称"/>
    <w:basedOn w:val="1"/>
    <w:qFormat/>
    <w:uiPriority w:val="0"/>
    <w:pPr>
      <w:spacing w:line="240" w:lineRule="auto"/>
      <w:jc w:val="center"/>
    </w:pPr>
    <w:rPr>
      <w:rFonts w:ascii="黑体" w:eastAsia="黑体"/>
      <w:b/>
      <w:sz w:val="28"/>
    </w:rPr>
  </w:style>
  <w:style w:type="paragraph" w:customStyle="1" w:styleId="77">
    <w:name w:val="标准文件_封面发布日期"/>
    <w:basedOn w:val="1"/>
    <w:qFormat/>
    <w:uiPriority w:val="0"/>
    <w:pPr>
      <w:spacing w:line="310" w:lineRule="exact"/>
    </w:pPr>
    <w:rPr>
      <w:rFonts w:ascii="黑体" w:eastAsia="黑体"/>
      <w:kern w:val="0"/>
      <w:sz w:val="28"/>
    </w:rPr>
  </w:style>
  <w:style w:type="paragraph" w:customStyle="1" w:styleId="78">
    <w:name w:val="标准文件_封面密级"/>
    <w:basedOn w:val="1"/>
    <w:qFormat/>
    <w:uiPriority w:val="0"/>
    <w:rPr>
      <w:rFonts w:eastAsia="黑体"/>
      <w:sz w:val="32"/>
    </w:rPr>
  </w:style>
  <w:style w:type="paragraph" w:customStyle="1" w:styleId="79">
    <w:name w:val="标准文件_封面实施日期"/>
    <w:basedOn w:val="1"/>
    <w:qFormat/>
    <w:uiPriority w:val="0"/>
    <w:pPr>
      <w:spacing w:line="310" w:lineRule="exact"/>
      <w:jc w:val="right"/>
    </w:pPr>
    <w:rPr>
      <w:rFonts w:ascii="黑体" w:eastAsia="黑体"/>
      <w:sz w:val="28"/>
    </w:rPr>
  </w:style>
  <w:style w:type="paragraph" w:customStyle="1" w:styleId="80">
    <w:name w:val="标准文件_封面抬头"/>
    <w:basedOn w:val="61"/>
    <w:qFormat/>
    <w:uiPriority w:val="0"/>
    <w:pPr>
      <w:adjustRightInd w:val="0"/>
      <w:spacing w:line="800" w:lineRule="exact"/>
      <w:ind w:firstLine="0" w:firstLineChars="0"/>
      <w:jc w:val="distribute"/>
    </w:pPr>
    <w:rPr>
      <w:rFonts w:ascii="黑体" w:eastAsia="黑体"/>
      <w:b/>
      <w:sz w:val="64"/>
    </w:rPr>
  </w:style>
  <w:style w:type="paragraph" w:customStyle="1" w:styleId="81">
    <w:name w:val="标准文件_附录标识"/>
    <w:next w:val="61"/>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82">
    <w:name w:val="标准文件_附录表标题"/>
    <w:next w:val="61"/>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3">
    <w:name w:val="标准文件_附录一级条标题"/>
    <w:next w:val="61"/>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4">
    <w:name w:val="标准文件_附录二级条标题"/>
    <w:basedOn w:val="83"/>
    <w:next w:val="61"/>
    <w:qFormat/>
    <w:uiPriority w:val="0"/>
    <w:pPr>
      <w:widowControl/>
      <w:numPr>
        <w:ilvl w:val="2"/>
      </w:numPr>
      <w:wordWrap w:val="0"/>
      <w:overflowPunct w:val="0"/>
      <w:autoSpaceDE w:val="0"/>
      <w:autoSpaceDN w:val="0"/>
      <w:textAlignment w:val="baseline"/>
      <w:outlineLvl w:val="3"/>
    </w:pPr>
  </w:style>
  <w:style w:type="paragraph" w:customStyle="1" w:styleId="85">
    <w:name w:val="标准文件_附录公式"/>
    <w:basedOn w:val="60"/>
    <w:next w:val="60"/>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6">
    <w:name w:val="标准文件_附录三级条标题"/>
    <w:next w:val="61"/>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7">
    <w:name w:val="标准文件_附录四级条标题"/>
    <w:next w:val="61"/>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8">
    <w:name w:val="标准文件_附录图标题"/>
    <w:next w:val="61"/>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9">
    <w:name w:val="标准文件_附录五级条标题"/>
    <w:next w:val="61"/>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90">
    <w:name w:val="标准文件_附录英文标识"/>
    <w:next w:val="15"/>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1">
    <w:name w:val="正文文本 Char"/>
    <w:link w:val="15"/>
    <w:qFormat/>
    <w:uiPriority w:val="0"/>
    <w:rPr>
      <w:rFonts w:ascii="Times New Roman" w:hAnsi="Times New Roman" w:eastAsia="宋体" w:cs="Times New Roman"/>
      <w:szCs w:val="20"/>
    </w:rPr>
  </w:style>
  <w:style w:type="paragraph" w:customStyle="1" w:styleId="92">
    <w:name w:val="标准文件_附录章标题"/>
    <w:next w:val="61"/>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3">
    <w:name w:val="标准文件_公式后的破折号"/>
    <w:basedOn w:val="61"/>
    <w:next w:val="61"/>
    <w:qFormat/>
    <w:uiPriority w:val="0"/>
    <w:pPr>
      <w:ind w:left="488" w:leftChars="200" w:hanging="289" w:hangingChars="290"/>
    </w:pPr>
  </w:style>
  <w:style w:type="paragraph" w:customStyle="1" w:styleId="94">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5">
    <w:name w:val="标准文件_目次、标准名称标题"/>
    <w:basedOn w:val="94"/>
    <w:next w:val="61"/>
    <w:qFormat/>
    <w:uiPriority w:val="0"/>
    <w:pPr>
      <w:spacing w:line="460" w:lineRule="exact"/>
    </w:pPr>
  </w:style>
  <w:style w:type="paragraph" w:customStyle="1" w:styleId="96">
    <w:name w:val="标准文件_目录标题"/>
    <w:basedOn w:val="1"/>
    <w:qFormat/>
    <w:uiPriority w:val="0"/>
    <w:pPr>
      <w:spacing w:afterLines="150" w:line="240" w:lineRule="auto"/>
      <w:jc w:val="center"/>
    </w:pPr>
    <w:rPr>
      <w:rFonts w:ascii="黑体" w:eastAsia="黑体"/>
      <w:sz w:val="32"/>
    </w:rPr>
  </w:style>
  <w:style w:type="paragraph" w:customStyle="1" w:styleId="97">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8">
    <w:name w:val="标准文件_破折号列项（二级）"/>
    <w:basedOn w:val="97"/>
    <w:qFormat/>
    <w:uiPriority w:val="0"/>
    <w:pPr>
      <w:numPr>
        <w:numId w:val="10"/>
      </w:numPr>
      <w:ind w:left="0" w:firstLine="200"/>
    </w:pPr>
  </w:style>
  <w:style w:type="paragraph" w:customStyle="1" w:styleId="99">
    <w:name w:val="标准文件_三级条标题"/>
    <w:basedOn w:val="70"/>
    <w:next w:val="61"/>
    <w:qFormat/>
    <w:uiPriority w:val="0"/>
    <w:pPr>
      <w:widowControl/>
      <w:numPr>
        <w:ilvl w:val="4"/>
      </w:numPr>
      <w:outlineLvl w:val="3"/>
    </w:pPr>
  </w:style>
  <w:style w:type="character" w:customStyle="1" w:styleId="100">
    <w:name w:val="不明显参考1"/>
    <w:qFormat/>
    <w:uiPriority w:val="31"/>
    <w:rPr>
      <w:smallCaps/>
      <w:color w:val="C0504D"/>
      <w:u w:val="single"/>
    </w:rPr>
  </w:style>
  <w:style w:type="paragraph" w:customStyle="1" w:styleId="101">
    <w:name w:val="标准文件_示例后续"/>
    <w:basedOn w:val="1"/>
    <w:qFormat/>
    <w:uiPriority w:val="0"/>
    <w:pPr>
      <w:adjustRightInd/>
      <w:spacing w:line="240" w:lineRule="auto"/>
      <w:ind w:firstLine="200" w:firstLineChars="200"/>
    </w:pPr>
    <w:rPr>
      <w:sz w:val="18"/>
      <w:szCs w:val="24"/>
    </w:rPr>
  </w:style>
  <w:style w:type="paragraph" w:customStyle="1" w:styleId="102">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3">
    <w:name w:val="标准文件_四级条标题"/>
    <w:next w:val="61"/>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4">
    <w:name w:val="脚注文本 Char"/>
    <w:link w:val="23"/>
    <w:semiHidden/>
    <w:qFormat/>
    <w:uiPriority w:val="0"/>
    <w:rPr>
      <w:rFonts w:ascii="宋体" w:hAnsi="Times New Roman" w:eastAsia="宋体" w:cs="Times New Roman"/>
      <w:sz w:val="18"/>
      <w:szCs w:val="18"/>
    </w:rPr>
  </w:style>
  <w:style w:type="paragraph" w:customStyle="1" w:styleId="105">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6">
    <w:name w:val="标准文件_图表脚注"/>
    <w:basedOn w:val="1"/>
    <w:next w:val="61"/>
    <w:qFormat/>
    <w:uiPriority w:val="0"/>
    <w:pPr>
      <w:numPr>
        <w:ilvl w:val="0"/>
        <w:numId w:val="12"/>
      </w:numPr>
      <w:spacing w:line="240" w:lineRule="auto"/>
      <w:jc w:val="left"/>
    </w:pPr>
    <w:rPr>
      <w:rFonts w:ascii="宋体" w:hAnsi="宋体"/>
      <w:sz w:val="18"/>
    </w:rPr>
  </w:style>
  <w:style w:type="character" w:customStyle="1" w:styleId="107">
    <w:name w:val="标准文件_图表脚注内容"/>
    <w:qFormat/>
    <w:uiPriority w:val="0"/>
    <w:rPr>
      <w:rFonts w:ascii="宋体" w:hAnsi="宋体" w:eastAsia="宋体" w:cs="Times New Roman"/>
      <w:spacing w:val="0"/>
      <w:sz w:val="18"/>
      <w:vertAlign w:val="superscript"/>
    </w:rPr>
  </w:style>
  <w:style w:type="paragraph" w:customStyle="1" w:styleId="108">
    <w:name w:val="标准文件_五级条标题"/>
    <w:next w:val="61"/>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9">
    <w:name w:val="标准文件_章标题"/>
    <w:next w:val="61"/>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10">
    <w:name w:val="标准文件_一级条标题"/>
    <w:basedOn w:val="109"/>
    <w:next w:val="61"/>
    <w:qFormat/>
    <w:uiPriority w:val="0"/>
    <w:pPr>
      <w:numPr>
        <w:ilvl w:val="2"/>
      </w:numPr>
      <w:spacing w:beforeLines="50" w:afterLines="50"/>
      <w:outlineLvl w:val="1"/>
    </w:pPr>
  </w:style>
  <w:style w:type="paragraph" w:customStyle="1" w:styleId="111">
    <w:name w:val="标准文件_一致程度"/>
    <w:basedOn w:val="1"/>
    <w:qFormat/>
    <w:uiPriority w:val="0"/>
    <w:pPr>
      <w:spacing w:line="440" w:lineRule="exact"/>
      <w:jc w:val="center"/>
    </w:pPr>
    <w:rPr>
      <w:sz w:val="28"/>
    </w:rPr>
  </w:style>
  <w:style w:type="paragraph" w:customStyle="1" w:styleId="112">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3">
    <w:name w:val="标准文件_英文图表脚注"/>
    <w:basedOn w:val="60"/>
    <w:qFormat/>
    <w:uiPriority w:val="0"/>
    <w:pPr>
      <w:widowControl/>
      <w:adjustRightInd/>
      <w:snapToGrid/>
      <w:spacing w:line="240" w:lineRule="auto"/>
      <w:ind w:left="79" w:hanging="79" w:hangingChars="80"/>
    </w:pPr>
    <w:rPr>
      <w:rFonts w:ascii="宋体" w:hAnsi="宋体"/>
    </w:rPr>
  </w:style>
  <w:style w:type="paragraph" w:customStyle="1" w:styleId="114">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5">
    <w:name w:val="标准文件_英文注："/>
    <w:basedOn w:val="1"/>
    <w:next w:val="61"/>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6">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7">
    <w:name w:val="标准文件_正文表标题"/>
    <w:next w:val="61"/>
    <w:qFormat/>
    <w:uiPriority w:val="0"/>
    <w:p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8">
    <w:name w:val="标准文件_正文公式"/>
    <w:basedOn w:val="1"/>
    <w:next w:val="60"/>
    <w:qFormat/>
    <w:uiPriority w:val="0"/>
    <w:pPr>
      <w:tabs>
        <w:tab w:val="center" w:pos="4678"/>
        <w:tab w:val="right" w:leader="middleDot" w:pos="9356"/>
      </w:tabs>
      <w:spacing w:line="240" w:lineRule="auto"/>
    </w:pPr>
    <w:rPr>
      <w:rFonts w:ascii="宋体" w:hAnsi="宋体"/>
    </w:rPr>
  </w:style>
  <w:style w:type="paragraph" w:customStyle="1" w:styleId="119">
    <w:name w:val="标准文件_正文图标题"/>
    <w:next w:val="61"/>
    <w:qFormat/>
    <w:uiPriority w:val="0"/>
    <w:pPr>
      <w:numPr>
        <w:ilvl w:val="0"/>
        <w:numId w:val="16"/>
      </w:numPr>
      <w:spacing w:beforeLines="50" w:afterLines="50"/>
      <w:jc w:val="center"/>
    </w:pPr>
    <w:rPr>
      <w:rFonts w:ascii="黑体" w:hAnsi="Times New Roman" w:eastAsia="黑体" w:cs="Times New Roman"/>
      <w:sz w:val="21"/>
      <w:lang w:val="en-US" w:eastAsia="zh-CN" w:bidi="ar-SA"/>
    </w:rPr>
  </w:style>
  <w:style w:type="paragraph" w:customStyle="1" w:styleId="120">
    <w:name w:val="标准文件_正文英文表标题"/>
    <w:next w:val="61"/>
    <w:qFormat/>
    <w:uiPriority w:val="0"/>
    <w:pPr>
      <w:numPr>
        <w:ilvl w:val="0"/>
        <w:numId w:val="17"/>
      </w:numPr>
      <w:jc w:val="center"/>
    </w:pPr>
    <w:rPr>
      <w:rFonts w:ascii="黑体" w:hAnsi="Times New Roman" w:eastAsia="黑体" w:cs="Times New Roman"/>
      <w:sz w:val="21"/>
      <w:lang w:val="en-US" w:eastAsia="zh-CN" w:bidi="ar-SA"/>
    </w:rPr>
  </w:style>
  <w:style w:type="paragraph" w:customStyle="1" w:styleId="121">
    <w:name w:val="标准文件_正文英文图标题"/>
    <w:next w:val="61"/>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2">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3">
    <w:name w:val="二级无标题条"/>
    <w:basedOn w:val="1"/>
    <w:qFormat/>
    <w:uiPriority w:val="0"/>
    <w:pPr>
      <w:numPr>
        <w:ilvl w:val="3"/>
        <w:numId w:val="19"/>
      </w:numPr>
      <w:adjustRightInd/>
      <w:spacing w:line="240" w:lineRule="auto"/>
    </w:pPr>
    <w:rPr>
      <w:rFonts w:ascii="宋体" w:hAnsi="宋体"/>
      <w:szCs w:val="24"/>
    </w:rPr>
  </w:style>
  <w:style w:type="paragraph" w:customStyle="1" w:styleId="124">
    <w:name w:val="发布部门"/>
    <w:next w:val="61"/>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5">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6">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7">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8">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9">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0">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1">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2">
    <w:name w:val="封面正文"/>
    <w:qFormat/>
    <w:uiPriority w:val="0"/>
    <w:pPr>
      <w:jc w:val="both"/>
    </w:pPr>
    <w:rPr>
      <w:rFonts w:ascii="Times New Roman" w:hAnsi="Times New Roman" w:eastAsia="宋体" w:cs="Times New Roman"/>
      <w:lang w:val="en-US" w:eastAsia="zh-CN" w:bidi="ar-SA"/>
    </w:rPr>
  </w:style>
  <w:style w:type="paragraph" w:customStyle="1" w:styleId="133">
    <w:name w:val="附录二级无标题条"/>
    <w:basedOn w:val="1"/>
    <w:next w:val="61"/>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4">
    <w:name w:val="附录三级无标题条"/>
    <w:basedOn w:val="133"/>
    <w:next w:val="61"/>
    <w:qFormat/>
    <w:uiPriority w:val="0"/>
    <w:pPr>
      <w:outlineLvl w:val="4"/>
    </w:pPr>
  </w:style>
  <w:style w:type="paragraph" w:customStyle="1" w:styleId="135">
    <w:name w:val="附录四级无标题条"/>
    <w:basedOn w:val="134"/>
    <w:next w:val="61"/>
    <w:qFormat/>
    <w:uiPriority w:val="0"/>
    <w:pPr>
      <w:outlineLvl w:val="5"/>
    </w:pPr>
  </w:style>
  <w:style w:type="paragraph" w:customStyle="1" w:styleId="136">
    <w:name w:val="附录图"/>
    <w:next w:val="61"/>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7">
    <w:name w:val="标准文件_一级项"/>
    <w:qFormat/>
    <w:uiPriority w:val="0"/>
    <w:pPr>
      <w:numPr>
        <w:ilvl w:val="0"/>
        <w:numId w:val="20"/>
      </w:numPr>
    </w:pPr>
    <w:rPr>
      <w:rFonts w:ascii="宋体" w:hAnsi="Times New Roman" w:eastAsia="宋体" w:cs="Times New Roman"/>
      <w:sz w:val="21"/>
      <w:lang w:val="en-US" w:eastAsia="zh-CN" w:bidi="ar-SA"/>
    </w:rPr>
  </w:style>
  <w:style w:type="paragraph" w:customStyle="1" w:styleId="138">
    <w:name w:val="附录五级无标题条"/>
    <w:basedOn w:val="135"/>
    <w:next w:val="61"/>
    <w:qFormat/>
    <w:uiPriority w:val="0"/>
    <w:pPr>
      <w:outlineLvl w:val="6"/>
    </w:pPr>
  </w:style>
  <w:style w:type="paragraph" w:customStyle="1" w:styleId="139">
    <w:name w:val="附录性质"/>
    <w:basedOn w:val="1"/>
    <w:qFormat/>
    <w:uiPriority w:val="0"/>
    <w:pPr>
      <w:widowControl/>
      <w:adjustRightInd/>
      <w:jc w:val="center"/>
    </w:pPr>
    <w:rPr>
      <w:rFonts w:ascii="黑体" w:eastAsia="黑体"/>
    </w:rPr>
  </w:style>
  <w:style w:type="paragraph" w:customStyle="1" w:styleId="140">
    <w:name w:val="附录一级无标题条"/>
    <w:basedOn w:val="92"/>
    <w:next w:val="61"/>
    <w:qFormat/>
    <w:uiPriority w:val="0"/>
    <w:pPr>
      <w:autoSpaceDN w:val="0"/>
      <w:outlineLvl w:val="2"/>
    </w:pPr>
    <w:rPr>
      <w:rFonts w:ascii="宋体" w:hAnsi="宋体" w:eastAsia="宋体"/>
    </w:rPr>
  </w:style>
  <w:style w:type="character" w:customStyle="1" w:styleId="141">
    <w:name w:val="个人答复风格"/>
    <w:qFormat/>
    <w:uiPriority w:val="0"/>
    <w:rPr>
      <w:rFonts w:ascii="Arial" w:hAnsi="Arial" w:eastAsia="宋体" w:cs="Arial"/>
      <w:color w:val="auto"/>
      <w:spacing w:val="0"/>
      <w:sz w:val="20"/>
    </w:rPr>
  </w:style>
  <w:style w:type="character" w:customStyle="1" w:styleId="142">
    <w:name w:val="个人撰写风格"/>
    <w:qFormat/>
    <w:uiPriority w:val="0"/>
    <w:rPr>
      <w:rFonts w:ascii="Arial" w:hAnsi="Arial" w:eastAsia="宋体" w:cs="Arial"/>
      <w:color w:val="auto"/>
      <w:spacing w:val="0"/>
      <w:sz w:val="20"/>
    </w:rPr>
  </w:style>
  <w:style w:type="paragraph" w:customStyle="1" w:styleId="143">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4">
    <w:name w:val="列项——"/>
    <w:qFormat/>
    <w:uiPriority w:val="0"/>
    <w:pPr>
      <w:widowControl w:val="0"/>
      <w:numPr>
        <w:ilvl w:val="0"/>
        <w:numId w:val="21"/>
      </w:numPr>
      <w:jc w:val="both"/>
    </w:pPr>
    <w:rPr>
      <w:rFonts w:ascii="宋体" w:hAnsi="宋体" w:eastAsia="宋体" w:cs="Times New Roman"/>
      <w:sz w:val="21"/>
      <w:lang w:val="en-US" w:eastAsia="zh-CN" w:bidi="ar-SA"/>
    </w:rPr>
  </w:style>
  <w:style w:type="paragraph" w:customStyle="1" w:styleId="145">
    <w:name w:val="列项·"/>
    <w:basedOn w:val="61"/>
    <w:qFormat/>
    <w:uiPriority w:val="0"/>
    <w:pPr>
      <w:tabs>
        <w:tab w:val="left" w:pos="840"/>
      </w:tabs>
    </w:pPr>
  </w:style>
  <w:style w:type="paragraph" w:customStyle="1" w:styleId="146">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7">
    <w:name w:val="目录 21"/>
    <w:basedOn w:val="1"/>
    <w:next w:val="1"/>
    <w:semiHidden/>
    <w:qFormat/>
    <w:uiPriority w:val="0"/>
    <w:pPr>
      <w:adjustRightInd/>
      <w:spacing w:line="240" w:lineRule="auto"/>
      <w:jc w:val="left"/>
    </w:pPr>
    <w:rPr>
      <w:bCs/>
      <w:iCs/>
    </w:rPr>
  </w:style>
  <w:style w:type="paragraph" w:customStyle="1" w:styleId="148">
    <w:name w:val="目录 31"/>
    <w:basedOn w:val="1"/>
    <w:next w:val="1"/>
    <w:semiHidden/>
    <w:qFormat/>
    <w:uiPriority w:val="0"/>
    <w:pPr>
      <w:spacing w:line="240" w:lineRule="auto"/>
    </w:pPr>
    <w:rPr>
      <w:rFonts w:ascii="宋体" w:hAnsi="宋体"/>
      <w:iCs/>
    </w:rPr>
  </w:style>
  <w:style w:type="paragraph" w:customStyle="1" w:styleId="149">
    <w:name w:val="目录 41"/>
    <w:basedOn w:val="1"/>
    <w:next w:val="1"/>
    <w:semiHidden/>
    <w:qFormat/>
    <w:uiPriority w:val="0"/>
    <w:pPr>
      <w:adjustRightInd/>
      <w:spacing w:line="240" w:lineRule="auto"/>
      <w:jc w:val="left"/>
    </w:pPr>
  </w:style>
  <w:style w:type="paragraph" w:customStyle="1" w:styleId="150">
    <w:name w:val="目录 51"/>
    <w:basedOn w:val="1"/>
    <w:next w:val="1"/>
    <w:semiHidden/>
    <w:qFormat/>
    <w:uiPriority w:val="0"/>
    <w:pPr>
      <w:spacing w:line="240" w:lineRule="auto"/>
    </w:pPr>
    <w:rPr>
      <w:rFonts w:ascii="宋体" w:hAnsi="宋体"/>
    </w:rPr>
  </w:style>
  <w:style w:type="paragraph" w:customStyle="1" w:styleId="151">
    <w:name w:val="目录 61"/>
    <w:basedOn w:val="1"/>
    <w:next w:val="1"/>
    <w:semiHidden/>
    <w:qFormat/>
    <w:uiPriority w:val="0"/>
    <w:pPr>
      <w:adjustRightInd/>
      <w:spacing w:line="240" w:lineRule="auto"/>
      <w:jc w:val="left"/>
    </w:pPr>
  </w:style>
  <w:style w:type="paragraph" w:customStyle="1" w:styleId="152">
    <w:name w:val="目录 71"/>
    <w:basedOn w:val="151"/>
    <w:semiHidden/>
    <w:qFormat/>
    <w:uiPriority w:val="0"/>
    <w:pPr>
      <w:ind w:left="1260"/>
    </w:pPr>
  </w:style>
  <w:style w:type="paragraph" w:customStyle="1" w:styleId="153">
    <w:name w:val="目录 81"/>
    <w:basedOn w:val="152"/>
    <w:semiHidden/>
    <w:qFormat/>
    <w:uiPriority w:val="0"/>
    <w:pPr>
      <w:ind w:left="1470"/>
    </w:pPr>
  </w:style>
  <w:style w:type="paragraph" w:customStyle="1" w:styleId="154">
    <w:name w:val="目录 91"/>
    <w:basedOn w:val="153"/>
    <w:semiHidden/>
    <w:qFormat/>
    <w:uiPriority w:val="0"/>
    <w:pPr>
      <w:ind w:left="1680"/>
    </w:pPr>
  </w:style>
  <w:style w:type="paragraph" w:customStyle="1" w:styleId="155">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6">
    <w:name w:val="其他发布部门"/>
    <w:basedOn w:val="124"/>
    <w:qFormat/>
    <w:uiPriority w:val="0"/>
    <w:pPr>
      <w:framePr w:wrap="around"/>
      <w:spacing w:line="0" w:lineRule="atLeast"/>
    </w:pPr>
    <w:rPr>
      <w:rFonts w:ascii="黑体" w:eastAsia="黑体"/>
      <w:b w:val="0"/>
    </w:rPr>
  </w:style>
  <w:style w:type="paragraph" w:customStyle="1" w:styleId="157">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8">
    <w:name w:val="三级无标题条"/>
    <w:basedOn w:val="1"/>
    <w:qFormat/>
    <w:uiPriority w:val="0"/>
    <w:pPr>
      <w:numPr>
        <w:ilvl w:val="4"/>
        <w:numId w:val="19"/>
      </w:numPr>
      <w:adjustRightInd/>
      <w:spacing w:line="240" w:lineRule="auto"/>
    </w:pPr>
    <w:rPr>
      <w:rFonts w:ascii="宋体" w:hAnsi="宋体"/>
      <w:szCs w:val="24"/>
    </w:rPr>
  </w:style>
  <w:style w:type="paragraph" w:customStyle="1" w:styleId="159">
    <w:name w:val="实施日期"/>
    <w:basedOn w:val="125"/>
    <w:qFormat/>
    <w:uiPriority w:val="0"/>
    <w:pPr>
      <w:framePr w:hSpace="0" w:wrap="around" w:xAlign="right"/>
      <w:jc w:val="right"/>
    </w:pPr>
  </w:style>
  <w:style w:type="paragraph" w:customStyle="1" w:styleId="160">
    <w:name w:val="四级无标题条"/>
    <w:basedOn w:val="1"/>
    <w:qFormat/>
    <w:uiPriority w:val="0"/>
    <w:pPr>
      <w:numPr>
        <w:ilvl w:val="5"/>
        <w:numId w:val="19"/>
      </w:numPr>
      <w:adjustRightInd/>
      <w:spacing w:line="240" w:lineRule="auto"/>
    </w:pPr>
    <w:rPr>
      <w:rFonts w:ascii="宋体" w:hAnsi="宋体"/>
      <w:szCs w:val="24"/>
    </w:rPr>
  </w:style>
  <w:style w:type="paragraph" w:customStyle="1" w:styleId="161">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2">
    <w:name w:val="无标题条"/>
    <w:next w:val="61"/>
    <w:qFormat/>
    <w:uiPriority w:val="0"/>
    <w:pPr>
      <w:jc w:val="both"/>
    </w:pPr>
    <w:rPr>
      <w:rFonts w:ascii="宋体" w:hAnsi="宋体" w:eastAsia="宋体" w:cs="Times New Roman"/>
      <w:sz w:val="21"/>
      <w:lang w:val="en-US" w:eastAsia="zh-CN" w:bidi="ar-SA"/>
    </w:rPr>
  </w:style>
  <w:style w:type="paragraph" w:customStyle="1" w:styleId="163">
    <w:name w:val="五级无标题条"/>
    <w:basedOn w:val="1"/>
    <w:qFormat/>
    <w:uiPriority w:val="0"/>
    <w:pPr>
      <w:numPr>
        <w:ilvl w:val="6"/>
        <w:numId w:val="19"/>
      </w:numPr>
      <w:adjustRightInd/>
    </w:pPr>
    <w:rPr>
      <w:szCs w:val="24"/>
    </w:rPr>
  </w:style>
  <w:style w:type="paragraph" w:customStyle="1" w:styleId="164">
    <w:name w:val="一级无标题条"/>
    <w:basedOn w:val="1"/>
    <w:qFormat/>
    <w:uiPriority w:val="0"/>
    <w:pPr>
      <w:numPr>
        <w:ilvl w:val="2"/>
        <w:numId w:val="19"/>
      </w:numPr>
      <w:adjustRightInd/>
      <w:spacing w:before="10" w:after="10" w:line="240" w:lineRule="auto"/>
    </w:pPr>
    <w:rPr>
      <w:rFonts w:ascii="宋体" w:hAnsi="宋体"/>
      <w:szCs w:val="24"/>
    </w:rPr>
  </w:style>
  <w:style w:type="paragraph" w:customStyle="1" w:styleId="165">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6">
    <w:name w:val="注×:后续"/>
    <w:basedOn w:val="165"/>
    <w:qFormat/>
    <w:uiPriority w:val="0"/>
    <w:pPr>
      <w:ind w:left="1406" w:leftChars="0" w:hanging="499" w:firstLineChars="0"/>
    </w:pPr>
  </w:style>
  <w:style w:type="paragraph" w:customStyle="1" w:styleId="167">
    <w:name w:val="标准文件_一级无标题"/>
    <w:basedOn w:val="110"/>
    <w:qFormat/>
    <w:uiPriority w:val="0"/>
    <w:pPr>
      <w:spacing w:beforeLines="0" w:afterLines="0"/>
      <w:outlineLvl w:val="9"/>
    </w:pPr>
    <w:rPr>
      <w:rFonts w:ascii="宋体" w:eastAsia="宋体"/>
    </w:rPr>
  </w:style>
  <w:style w:type="paragraph" w:customStyle="1" w:styleId="168">
    <w:name w:val="标准文件_五级无标题"/>
    <w:basedOn w:val="108"/>
    <w:qFormat/>
    <w:uiPriority w:val="0"/>
    <w:pPr>
      <w:spacing w:beforeLines="0" w:afterLines="0"/>
      <w:outlineLvl w:val="9"/>
    </w:pPr>
    <w:rPr>
      <w:rFonts w:ascii="宋体" w:eastAsia="宋体"/>
    </w:rPr>
  </w:style>
  <w:style w:type="paragraph" w:customStyle="1" w:styleId="169">
    <w:name w:val="标准文件_三级无标题"/>
    <w:basedOn w:val="99"/>
    <w:qFormat/>
    <w:uiPriority w:val="0"/>
    <w:pPr>
      <w:spacing w:beforeLines="0" w:afterLines="0"/>
      <w:outlineLvl w:val="9"/>
    </w:pPr>
    <w:rPr>
      <w:rFonts w:ascii="宋体" w:eastAsia="宋体"/>
    </w:rPr>
  </w:style>
  <w:style w:type="paragraph" w:customStyle="1" w:styleId="170">
    <w:name w:val="标准文件_二级无标题"/>
    <w:basedOn w:val="70"/>
    <w:qFormat/>
    <w:uiPriority w:val="0"/>
    <w:pPr>
      <w:spacing w:beforeLines="0" w:afterLines="0"/>
      <w:outlineLvl w:val="9"/>
    </w:pPr>
    <w:rPr>
      <w:rFonts w:ascii="宋体" w:eastAsia="宋体"/>
    </w:rPr>
  </w:style>
  <w:style w:type="paragraph" w:customStyle="1" w:styleId="171">
    <w:name w:val="标准_四级无标题"/>
    <w:basedOn w:val="103"/>
    <w:next w:val="61"/>
    <w:qFormat/>
    <w:uiPriority w:val="0"/>
    <w:rPr>
      <w:rFonts w:eastAsia="宋体"/>
    </w:rPr>
  </w:style>
  <w:style w:type="paragraph" w:customStyle="1" w:styleId="172">
    <w:name w:val="标准文件_四级无标题"/>
    <w:basedOn w:val="103"/>
    <w:qFormat/>
    <w:uiPriority w:val="0"/>
    <w:pPr>
      <w:spacing w:beforeLines="0" w:afterLines="0"/>
      <w:outlineLvl w:val="9"/>
    </w:pPr>
    <w:rPr>
      <w:rFonts w:ascii="宋体" w:hAnsi="黑体" w:eastAsia="宋体"/>
      <w:szCs w:val="52"/>
    </w:rPr>
  </w:style>
  <w:style w:type="paragraph" w:customStyle="1" w:styleId="173">
    <w:name w:val="标准文件_大写罗马数字编号列项"/>
    <w:basedOn w:val="61"/>
    <w:qFormat/>
    <w:uiPriority w:val="0"/>
    <w:pPr>
      <w:numPr>
        <w:ilvl w:val="0"/>
        <w:numId w:val="22"/>
      </w:numPr>
      <w:ind w:firstLine="0" w:firstLineChars="0"/>
    </w:pPr>
    <w:rPr>
      <w:rFonts w:ascii="Times New Roman" w:cs="Arial"/>
      <w:szCs w:val="28"/>
    </w:rPr>
  </w:style>
  <w:style w:type="paragraph" w:customStyle="1" w:styleId="174">
    <w:name w:val="标准文件_小写罗马数字编号列项"/>
    <w:basedOn w:val="61"/>
    <w:qFormat/>
    <w:uiPriority w:val="0"/>
    <w:pPr>
      <w:numPr>
        <w:ilvl w:val="0"/>
        <w:numId w:val="23"/>
      </w:numPr>
      <w:ind w:firstLine="0" w:firstLineChars="0"/>
    </w:pPr>
    <w:rPr>
      <w:rFonts w:cs="Arial"/>
      <w:szCs w:val="28"/>
    </w:rPr>
  </w:style>
  <w:style w:type="paragraph" w:customStyle="1" w:styleId="175">
    <w:name w:val="标准文件_附录标题"/>
    <w:basedOn w:val="81"/>
    <w:qFormat/>
    <w:uiPriority w:val="0"/>
    <w:pPr>
      <w:numPr>
        <w:numId w:val="0"/>
      </w:numPr>
      <w:spacing w:after="280"/>
      <w:outlineLvl w:val="9"/>
    </w:pPr>
  </w:style>
  <w:style w:type="paragraph" w:customStyle="1" w:styleId="176">
    <w:name w:val="标准文件_二级项"/>
    <w:qFormat/>
    <w:uiPriority w:val="0"/>
    <w:rPr>
      <w:rFonts w:ascii="宋体" w:hAnsi="Times New Roman" w:eastAsia="宋体" w:cs="Times New Roman"/>
      <w:sz w:val="21"/>
      <w:lang w:val="en-US" w:eastAsia="zh-CN" w:bidi="ar-SA"/>
    </w:rPr>
  </w:style>
  <w:style w:type="paragraph" w:customStyle="1" w:styleId="177">
    <w:name w:val="标准文件_三级项"/>
    <w:basedOn w:val="1"/>
    <w:qFormat/>
    <w:uiPriority w:val="0"/>
    <w:pPr>
      <w:numPr>
        <w:ilvl w:val="2"/>
        <w:numId w:val="20"/>
      </w:numPr>
      <w:spacing w:line="536870612" w:lineRule="auto"/>
    </w:pPr>
    <w:rPr>
      <w:rFonts w:ascii="Times New Roman" w:hAnsi="Times New Roman"/>
    </w:rPr>
  </w:style>
  <w:style w:type="paragraph" w:customStyle="1" w:styleId="178">
    <w:name w:val="图表脚注说明"/>
    <w:basedOn w:val="1"/>
    <w:next w:val="61"/>
    <w:qFormat/>
    <w:uiPriority w:val="0"/>
    <w:pPr>
      <w:numPr>
        <w:ilvl w:val="0"/>
        <w:numId w:val="24"/>
      </w:numPr>
      <w:adjustRightInd/>
      <w:spacing w:line="240" w:lineRule="auto"/>
      <w:ind w:left="783"/>
    </w:pPr>
    <w:rPr>
      <w:rFonts w:ascii="宋体" w:hAnsi="Times New Roman"/>
      <w:sz w:val="18"/>
      <w:szCs w:val="18"/>
    </w:rPr>
  </w:style>
  <w:style w:type="paragraph" w:customStyle="1" w:styleId="179">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80">
    <w:name w:val="标准文件_索引字母"/>
    <w:next w:val="61"/>
    <w:qFormat/>
    <w:uiPriority w:val="0"/>
    <w:pPr>
      <w:jc w:val="center"/>
    </w:pPr>
    <w:rPr>
      <w:rFonts w:ascii="宋体" w:hAnsi="宋体" w:eastAsia="Times New Roman" w:cs="Times New Roman"/>
      <w:b/>
      <w:kern w:val="2"/>
      <w:sz w:val="21"/>
      <w:lang w:val="en-US" w:eastAsia="zh-CN" w:bidi="ar-SA"/>
    </w:rPr>
  </w:style>
  <w:style w:type="paragraph" w:customStyle="1" w:styleId="181">
    <w:name w:val="标准文件_附录前"/>
    <w:next w:val="61"/>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2">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83">
    <w:name w:val="标准文件_表格"/>
    <w:basedOn w:val="61"/>
    <w:qFormat/>
    <w:uiPriority w:val="0"/>
    <w:pPr>
      <w:ind w:firstLine="0" w:firstLineChars="0"/>
      <w:jc w:val="center"/>
    </w:pPr>
    <w:rPr>
      <w:sz w:val="18"/>
    </w:rPr>
  </w:style>
  <w:style w:type="paragraph" w:customStyle="1" w:styleId="184">
    <w:name w:val="标准文件_注："/>
    <w:next w:val="61"/>
    <w:qFormat/>
    <w:uiPriority w:val="0"/>
    <w:pPr>
      <w:widowControl w:val="0"/>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注×："/>
    <w:qFormat/>
    <w:uiPriority w:val="0"/>
    <w:pPr>
      <w:widowControl w:val="0"/>
      <w:numPr>
        <w:ilvl w:val="0"/>
        <w:numId w:val="25"/>
      </w:numPr>
      <w:autoSpaceDE w:val="0"/>
      <w:autoSpaceDN w:val="0"/>
      <w:jc w:val="both"/>
    </w:pPr>
    <w:rPr>
      <w:rFonts w:ascii="宋体" w:hAnsi="Times New Roman" w:eastAsia="宋体" w:cs="Times New Roman"/>
      <w:sz w:val="18"/>
      <w:szCs w:val="18"/>
      <w:lang w:val="en-US" w:eastAsia="zh-CN" w:bidi="ar-SA"/>
    </w:rPr>
  </w:style>
  <w:style w:type="paragraph" w:customStyle="1" w:styleId="186">
    <w:name w:val="标准文件_示例："/>
    <w:next w:val="187"/>
    <w:qFormat/>
    <w:uiPriority w:val="0"/>
    <w:pPr>
      <w:widowControl w:val="0"/>
      <w:numPr>
        <w:ilvl w:val="0"/>
        <w:numId w:val="26"/>
      </w:numPr>
      <w:jc w:val="both"/>
    </w:pPr>
    <w:rPr>
      <w:rFonts w:ascii="宋体" w:hAnsi="Times New Roman" w:eastAsia="宋体" w:cs="Times New Roman"/>
      <w:sz w:val="18"/>
      <w:szCs w:val="18"/>
      <w:lang w:val="en-US" w:eastAsia="zh-CN" w:bidi="ar-SA"/>
    </w:rPr>
  </w:style>
  <w:style w:type="paragraph" w:customStyle="1" w:styleId="187">
    <w:name w:val="标准文件_示例内容"/>
    <w:basedOn w:val="61"/>
    <w:qFormat/>
    <w:uiPriority w:val="0"/>
    <w:pPr>
      <w:ind w:firstLine="420"/>
    </w:pPr>
    <w:rPr>
      <w:sz w:val="18"/>
    </w:rPr>
  </w:style>
  <w:style w:type="paragraph" w:customStyle="1" w:styleId="188">
    <w:name w:val="标准文件_示例×："/>
    <w:basedOn w:val="1"/>
    <w:next w:val="187"/>
    <w:qFormat/>
    <w:uiPriority w:val="0"/>
    <w:pPr>
      <w:widowControl/>
      <w:numPr>
        <w:ilvl w:val="0"/>
        <w:numId w:val="27"/>
      </w:numPr>
      <w:adjustRightInd/>
      <w:spacing w:line="240" w:lineRule="auto"/>
    </w:pPr>
    <w:rPr>
      <w:rFonts w:ascii="宋体" w:hAnsi="Times New Roman"/>
      <w:kern w:val="0"/>
      <w:sz w:val="18"/>
      <w:szCs w:val="18"/>
    </w:rPr>
  </w:style>
  <w:style w:type="character" w:customStyle="1" w:styleId="189">
    <w:name w:val="标准文件_段 Char"/>
    <w:link w:val="61"/>
    <w:qFormat/>
    <w:uiPriority w:val="0"/>
    <w:rPr>
      <w:rFonts w:ascii="宋体" w:hAnsi="Times New Roman"/>
      <w:sz w:val="21"/>
    </w:rPr>
  </w:style>
  <w:style w:type="paragraph" w:customStyle="1" w:styleId="190">
    <w:name w:val="标准文件_表格续"/>
    <w:basedOn w:val="61"/>
    <w:next w:val="61"/>
    <w:qFormat/>
    <w:uiPriority w:val="0"/>
    <w:pPr>
      <w:jc w:val="center"/>
    </w:pPr>
    <w:rPr>
      <w:rFonts w:ascii="黑体" w:hAnsi="黑体" w:eastAsia="黑体"/>
    </w:rPr>
  </w:style>
  <w:style w:type="character" w:styleId="191">
    <w:name w:val="Placeholder Text"/>
    <w:basedOn w:val="31"/>
    <w:semiHidden/>
    <w:qFormat/>
    <w:uiPriority w:val="99"/>
    <w:rPr>
      <w:color w:val="808080"/>
    </w:rPr>
  </w:style>
  <w:style w:type="paragraph" w:customStyle="1" w:styleId="192">
    <w:name w:val="标准文件_二级项2"/>
    <w:basedOn w:val="61"/>
    <w:qFormat/>
    <w:uiPriority w:val="0"/>
    <w:pPr>
      <w:numPr>
        <w:ilvl w:val="1"/>
        <w:numId w:val="20"/>
      </w:numPr>
      <w:ind w:left="1271" w:hanging="420" w:firstLineChars="0"/>
    </w:pPr>
  </w:style>
  <w:style w:type="paragraph" w:customStyle="1" w:styleId="193">
    <w:name w:val="标准文件_三级项2"/>
    <w:basedOn w:val="61"/>
    <w:qFormat/>
    <w:uiPriority w:val="0"/>
    <w:pPr>
      <w:numPr>
        <w:ilvl w:val="0"/>
        <w:numId w:val="28"/>
      </w:numPr>
      <w:spacing w:line="300" w:lineRule="exact"/>
      <w:ind w:left="1276" w:hanging="425" w:firstLineChars="0"/>
    </w:pPr>
    <w:rPr>
      <w:rFonts w:ascii="Times New Roman"/>
    </w:rPr>
  </w:style>
  <w:style w:type="paragraph" w:customStyle="1" w:styleId="194">
    <w:name w:val="标准文件_一级项2"/>
    <w:basedOn w:val="61"/>
    <w:qFormat/>
    <w:uiPriority w:val="0"/>
    <w:pPr>
      <w:numPr>
        <w:ilvl w:val="0"/>
        <w:numId w:val="29"/>
      </w:numPr>
      <w:spacing w:line="300" w:lineRule="exact"/>
      <w:ind w:left="1271" w:hanging="420" w:firstLineChars="0"/>
    </w:pPr>
    <w:rPr>
      <w:rFonts w:ascii="Times New Roman"/>
    </w:rPr>
  </w:style>
  <w:style w:type="paragraph" w:customStyle="1" w:styleId="195">
    <w:name w:val="标准文件_提示"/>
    <w:basedOn w:val="61"/>
    <w:next w:val="61"/>
    <w:qFormat/>
    <w:uiPriority w:val="0"/>
    <w:pPr>
      <w:ind w:firstLine="420"/>
    </w:pPr>
    <w:rPr>
      <w:rFonts w:ascii="黑体" w:eastAsia="黑体"/>
    </w:rPr>
  </w:style>
  <w:style w:type="character" w:customStyle="1" w:styleId="196">
    <w:name w:val="标准文件_来源"/>
    <w:basedOn w:val="31"/>
    <w:qFormat/>
    <w:uiPriority w:val="1"/>
    <w:rPr>
      <w:rFonts w:eastAsia="宋体"/>
      <w:sz w:val="21"/>
    </w:rPr>
  </w:style>
  <w:style w:type="paragraph" w:customStyle="1" w:styleId="197">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8">
    <w:name w:val="其他发布日期"/>
    <w:basedOn w:val="125"/>
    <w:qFormat/>
    <w:uiPriority w:val="0"/>
    <w:pPr>
      <w:framePr w:w="3997" w:h="471" w:hRule="exact" w:hSpace="0" w:vSpace="181" w:wrap="around" w:vAnchor="page" w:hAnchor="page" w:x="1419" w:y="14097"/>
    </w:pPr>
  </w:style>
  <w:style w:type="paragraph" w:customStyle="1" w:styleId="199">
    <w:name w:val="其他实施日期"/>
    <w:basedOn w:val="159"/>
    <w:qFormat/>
    <w:uiPriority w:val="0"/>
    <w:pPr>
      <w:framePr w:w="3997" w:h="471" w:hRule="exact" w:vSpace="181" w:wrap="around" w:vAnchor="page" w:hAnchor="page" w:x="7089" w:y="14097"/>
    </w:pPr>
  </w:style>
  <w:style w:type="paragraph" w:customStyle="1" w:styleId="200">
    <w:name w:val="标准文件_文件编号"/>
    <w:basedOn w:val="61"/>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1">
    <w:name w:val="标准文件_替换文件编号"/>
    <w:basedOn w:val="200"/>
    <w:qFormat/>
    <w:uiPriority w:val="0"/>
    <w:pPr>
      <w:framePr/>
      <w:spacing w:before="57"/>
    </w:pPr>
    <w:rPr>
      <w:sz w:val="21"/>
    </w:rPr>
  </w:style>
  <w:style w:type="paragraph" w:customStyle="1" w:styleId="202">
    <w:name w:val="标准文件_文件名称"/>
    <w:basedOn w:val="61"/>
    <w:next w:val="61"/>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3">
    <w:name w:val="标准文件_附录图标号"/>
    <w:basedOn w:val="61"/>
    <w:next w:val="61"/>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4">
    <w:name w:val="标准文件_附录表标号"/>
    <w:basedOn w:val="61"/>
    <w:next w:val="61"/>
    <w:qFormat/>
    <w:uiPriority w:val="0"/>
    <w:pPr>
      <w:numPr>
        <w:ilvl w:val="0"/>
        <w:numId w:val="5"/>
      </w:numPr>
      <w:spacing w:line="14" w:lineRule="exact"/>
      <w:ind w:firstLine="0" w:firstLineChars="0"/>
      <w:jc w:val="center"/>
    </w:pPr>
    <w:rPr>
      <w:rFonts w:eastAsia="黑体"/>
      <w:vanish/>
      <w:sz w:val="2"/>
    </w:rPr>
  </w:style>
  <w:style w:type="paragraph" w:customStyle="1" w:styleId="205">
    <w:name w:val="标准文件_引言一级条标题"/>
    <w:basedOn w:val="61"/>
    <w:next w:val="61"/>
    <w:qFormat/>
    <w:uiPriority w:val="0"/>
    <w:pPr>
      <w:numPr>
        <w:ilvl w:val="1"/>
        <w:numId w:val="8"/>
      </w:numPr>
      <w:spacing w:beforeLines="50" w:afterLines="50"/>
      <w:ind w:firstLineChars="0"/>
    </w:pPr>
    <w:rPr>
      <w:rFonts w:ascii="黑体" w:eastAsia="黑体"/>
    </w:rPr>
  </w:style>
  <w:style w:type="paragraph" w:customStyle="1" w:styleId="206">
    <w:name w:val="标准文件_引言二级条标题"/>
    <w:basedOn w:val="61"/>
    <w:next w:val="61"/>
    <w:qFormat/>
    <w:uiPriority w:val="0"/>
    <w:pPr>
      <w:numPr>
        <w:ilvl w:val="2"/>
        <w:numId w:val="8"/>
      </w:numPr>
      <w:spacing w:beforeLines="50" w:afterLines="50"/>
      <w:ind w:firstLineChars="0"/>
    </w:pPr>
    <w:rPr>
      <w:rFonts w:ascii="黑体" w:eastAsia="黑体"/>
    </w:rPr>
  </w:style>
  <w:style w:type="paragraph" w:customStyle="1" w:styleId="207">
    <w:name w:val="标准文件_引言三级条标题"/>
    <w:basedOn w:val="61"/>
    <w:next w:val="61"/>
    <w:qFormat/>
    <w:uiPriority w:val="0"/>
    <w:pPr>
      <w:numPr>
        <w:ilvl w:val="3"/>
        <w:numId w:val="8"/>
      </w:numPr>
      <w:spacing w:beforeLines="50" w:afterLines="50"/>
      <w:ind w:firstLineChars="0"/>
    </w:pPr>
    <w:rPr>
      <w:rFonts w:ascii="黑体" w:eastAsia="黑体"/>
    </w:rPr>
  </w:style>
  <w:style w:type="paragraph" w:customStyle="1" w:styleId="208">
    <w:name w:val="标准文件_引言四级条标题"/>
    <w:basedOn w:val="61"/>
    <w:next w:val="61"/>
    <w:qFormat/>
    <w:uiPriority w:val="0"/>
    <w:pPr>
      <w:numPr>
        <w:ilvl w:val="4"/>
        <w:numId w:val="8"/>
      </w:numPr>
      <w:spacing w:beforeLines="50" w:afterLines="50"/>
      <w:ind w:firstLineChars="0"/>
    </w:pPr>
    <w:rPr>
      <w:rFonts w:ascii="黑体" w:eastAsia="黑体"/>
    </w:rPr>
  </w:style>
  <w:style w:type="paragraph" w:customStyle="1" w:styleId="209">
    <w:name w:val="标准文件_引言五级条标题"/>
    <w:basedOn w:val="61"/>
    <w:next w:val="61"/>
    <w:qFormat/>
    <w:uiPriority w:val="0"/>
    <w:pPr>
      <w:numPr>
        <w:ilvl w:val="5"/>
        <w:numId w:val="8"/>
      </w:numPr>
      <w:spacing w:beforeLines="50" w:afterLines="50"/>
      <w:ind w:firstLineChars="0"/>
    </w:pPr>
    <w:rPr>
      <w:rFonts w:ascii="黑体" w:eastAsia="黑体"/>
    </w:rPr>
  </w:style>
  <w:style w:type="paragraph" w:customStyle="1" w:styleId="210">
    <w:name w:val="标准文件_注后"/>
    <w:basedOn w:val="61"/>
    <w:qFormat/>
    <w:uiPriority w:val="0"/>
    <w:pPr>
      <w:ind w:left="811" w:firstLine="0" w:firstLineChars="0"/>
    </w:pPr>
    <w:rPr>
      <w:sz w:val="18"/>
    </w:rPr>
  </w:style>
  <w:style w:type="paragraph" w:customStyle="1" w:styleId="211">
    <w:name w:val="标准文件_注X后"/>
    <w:basedOn w:val="61"/>
    <w:qFormat/>
    <w:uiPriority w:val="0"/>
    <w:pPr>
      <w:ind w:left="811" w:firstLine="0" w:firstLineChars="0"/>
    </w:pPr>
    <w:rPr>
      <w:sz w:val="18"/>
    </w:rPr>
  </w:style>
  <w:style w:type="paragraph" w:customStyle="1" w:styleId="212">
    <w:name w:val="标准文件_示例后"/>
    <w:basedOn w:val="61"/>
    <w:qFormat/>
    <w:uiPriority w:val="0"/>
    <w:pPr>
      <w:ind w:left="964" w:firstLine="0" w:firstLineChars="0"/>
    </w:pPr>
    <w:rPr>
      <w:sz w:val="18"/>
    </w:rPr>
  </w:style>
  <w:style w:type="paragraph" w:customStyle="1" w:styleId="213">
    <w:name w:val="标准文件_示例X后"/>
    <w:basedOn w:val="61"/>
    <w:link w:val="214"/>
    <w:qFormat/>
    <w:uiPriority w:val="0"/>
    <w:pPr>
      <w:ind w:left="1049" w:firstLine="0" w:firstLineChars="0"/>
    </w:pPr>
    <w:rPr>
      <w:sz w:val="18"/>
    </w:rPr>
  </w:style>
  <w:style w:type="character" w:customStyle="1" w:styleId="214">
    <w:name w:val="标准文件_示例X后 字符"/>
    <w:basedOn w:val="189"/>
    <w:link w:val="213"/>
    <w:qFormat/>
    <w:uiPriority w:val="0"/>
    <w:rPr>
      <w:rFonts w:ascii="宋体" w:hAnsi="Times New Roman"/>
      <w:sz w:val="18"/>
    </w:rPr>
  </w:style>
  <w:style w:type="paragraph" w:customStyle="1" w:styleId="215">
    <w:name w:val="标准文件_索引项"/>
    <w:basedOn w:val="61"/>
    <w:next w:val="61"/>
    <w:qFormat/>
    <w:uiPriority w:val="0"/>
    <w:pPr>
      <w:tabs>
        <w:tab w:val="right" w:leader="dot" w:pos="9356"/>
      </w:tabs>
      <w:ind w:left="210" w:hanging="210" w:firstLineChars="0"/>
      <w:jc w:val="left"/>
    </w:pPr>
  </w:style>
  <w:style w:type="paragraph" w:customStyle="1" w:styleId="216">
    <w:name w:val="标准文件_附录一级无标题"/>
    <w:basedOn w:val="83"/>
    <w:qFormat/>
    <w:uiPriority w:val="0"/>
    <w:pPr>
      <w:spacing w:beforeLines="0" w:afterLines="0" w:line="276" w:lineRule="auto"/>
      <w:outlineLvl w:val="9"/>
    </w:pPr>
    <w:rPr>
      <w:rFonts w:ascii="宋体" w:eastAsia="宋体"/>
    </w:rPr>
  </w:style>
  <w:style w:type="paragraph" w:customStyle="1" w:styleId="217">
    <w:name w:val="标准文件_附录二级无标题"/>
    <w:basedOn w:val="84"/>
    <w:qFormat/>
    <w:uiPriority w:val="0"/>
    <w:pPr>
      <w:spacing w:beforeLines="0" w:afterLines="0" w:line="276" w:lineRule="auto"/>
      <w:outlineLvl w:val="9"/>
    </w:pPr>
    <w:rPr>
      <w:rFonts w:ascii="宋体" w:eastAsia="宋体"/>
    </w:rPr>
  </w:style>
  <w:style w:type="paragraph" w:customStyle="1" w:styleId="218">
    <w:name w:val="标准文件_附录三级无标题"/>
    <w:basedOn w:val="86"/>
    <w:qFormat/>
    <w:uiPriority w:val="0"/>
    <w:pPr>
      <w:spacing w:beforeLines="0" w:afterLines="0" w:line="276" w:lineRule="auto"/>
      <w:outlineLvl w:val="9"/>
    </w:pPr>
    <w:rPr>
      <w:rFonts w:ascii="宋体" w:eastAsia="宋体"/>
    </w:rPr>
  </w:style>
  <w:style w:type="paragraph" w:customStyle="1" w:styleId="219">
    <w:name w:val="标准文件_附录四级无标题"/>
    <w:basedOn w:val="87"/>
    <w:qFormat/>
    <w:uiPriority w:val="0"/>
    <w:pPr>
      <w:spacing w:beforeLines="0" w:afterLines="0" w:line="276" w:lineRule="auto"/>
      <w:outlineLvl w:val="9"/>
    </w:pPr>
    <w:rPr>
      <w:rFonts w:ascii="宋体" w:eastAsia="宋体"/>
    </w:rPr>
  </w:style>
  <w:style w:type="paragraph" w:customStyle="1" w:styleId="220">
    <w:name w:val="标准文件_附录五级无标题"/>
    <w:basedOn w:val="89"/>
    <w:qFormat/>
    <w:uiPriority w:val="0"/>
    <w:pPr>
      <w:spacing w:beforeLines="0" w:afterLines="0" w:line="276" w:lineRule="auto"/>
      <w:outlineLvl w:val="9"/>
    </w:pPr>
    <w:rPr>
      <w:rFonts w:ascii="宋体" w:eastAsia="宋体"/>
    </w:rPr>
  </w:style>
  <w:style w:type="paragraph" w:customStyle="1" w:styleId="221">
    <w:name w:val="标准文件_引言一级无标题"/>
    <w:basedOn w:val="205"/>
    <w:next w:val="61"/>
    <w:qFormat/>
    <w:uiPriority w:val="0"/>
    <w:pPr>
      <w:spacing w:beforeLines="0" w:afterLines="0" w:line="276" w:lineRule="auto"/>
    </w:pPr>
    <w:rPr>
      <w:rFonts w:ascii="宋体" w:eastAsia="宋体"/>
    </w:rPr>
  </w:style>
  <w:style w:type="paragraph" w:customStyle="1" w:styleId="222">
    <w:name w:val="标准文件_引言二级无标题"/>
    <w:basedOn w:val="206"/>
    <w:next w:val="61"/>
    <w:qFormat/>
    <w:uiPriority w:val="0"/>
    <w:pPr>
      <w:spacing w:beforeLines="0" w:afterLines="0" w:line="276" w:lineRule="auto"/>
    </w:pPr>
    <w:rPr>
      <w:rFonts w:ascii="宋体" w:eastAsia="宋体"/>
    </w:rPr>
  </w:style>
  <w:style w:type="paragraph" w:customStyle="1" w:styleId="223">
    <w:name w:val="标准文件_引言三级无标题"/>
    <w:basedOn w:val="207"/>
    <w:next w:val="61"/>
    <w:qFormat/>
    <w:uiPriority w:val="0"/>
    <w:pPr>
      <w:spacing w:beforeLines="0" w:afterLines="0" w:line="276" w:lineRule="auto"/>
    </w:pPr>
    <w:rPr>
      <w:rFonts w:ascii="宋体" w:eastAsia="宋体"/>
    </w:rPr>
  </w:style>
  <w:style w:type="paragraph" w:customStyle="1" w:styleId="224">
    <w:name w:val="标准文件_引言四级无标题"/>
    <w:basedOn w:val="208"/>
    <w:next w:val="61"/>
    <w:qFormat/>
    <w:uiPriority w:val="0"/>
    <w:pPr>
      <w:spacing w:beforeLines="0" w:afterLines="0" w:line="276" w:lineRule="auto"/>
    </w:pPr>
    <w:rPr>
      <w:rFonts w:ascii="宋体" w:eastAsia="宋体"/>
    </w:rPr>
  </w:style>
  <w:style w:type="paragraph" w:customStyle="1" w:styleId="225">
    <w:name w:val="标准文件_引言五级无标题"/>
    <w:basedOn w:val="209"/>
    <w:next w:val="61"/>
    <w:qFormat/>
    <w:uiPriority w:val="0"/>
    <w:pPr>
      <w:spacing w:beforeLines="0" w:afterLines="0" w:line="276" w:lineRule="auto"/>
    </w:pPr>
    <w:rPr>
      <w:rFonts w:ascii="宋体" w:eastAsia="宋体"/>
    </w:rPr>
  </w:style>
  <w:style w:type="paragraph" w:customStyle="1" w:styleId="226">
    <w:name w:val="标准文件_索引标题"/>
    <w:basedOn w:val="68"/>
    <w:next w:val="61"/>
    <w:qFormat/>
    <w:uiPriority w:val="0"/>
    <w:rPr>
      <w:rFonts w:hAnsi="黑体"/>
    </w:rPr>
  </w:style>
  <w:style w:type="paragraph" w:customStyle="1" w:styleId="227">
    <w:name w:val="标准文件_脚注内容"/>
    <w:basedOn w:val="61"/>
    <w:qFormat/>
    <w:uiPriority w:val="0"/>
    <w:pPr>
      <w:ind w:left="400" w:leftChars="200" w:hanging="200" w:hangingChars="200"/>
    </w:pPr>
    <w:rPr>
      <w:sz w:val="15"/>
    </w:rPr>
  </w:style>
  <w:style w:type="paragraph" w:customStyle="1" w:styleId="228">
    <w:name w:val="标准文件_术语条一"/>
    <w:basedOn w:val="167"/>
    <w:next w:val="61"/>
    <w:qFormat/>
    <w:uiPriority w:val="0"/>
  </w:style>
  <w:style w:type="paragraph" w:customStyle="1" w:styleId="229">
    <w:name w:val="标准文件_术语条二"/>
    <w:basedOn w:val="170"/>
    <w:next w:val="61"/>
    <w:qFormat/>
    <w:uiPriority w:val="0"/>
  </w:style>
  <w:style w:type="paragraph" w:customStyle="1" w:styleId="230">
    <w:name w:val="标准文件_术语条三"/>
    <w:basedOn w:val="169"/>
    <w:next w:val="61"/>
    <w:qFormat/>
    <w:uiPriority w:val="0"/>
  </w:style>
  <w:style w:type="paragraph" w:customStyle="1" w:styleId="231">
    <w:name w:val="标准文件_术语条四"/>
    <w:basedOn w:val="172"/>
    <w:next w:val="61"/>
    <w:qFormat/>
    <w:uiPriority w:val="0"/>
  </w:style>
  <w:style w:type="paragraph" w:customStyle="1" w:styleId="232">
    <w:name w:val="标准文件_术语条五"/>
    <w:basedOn w:val="168"/>
    <w:next w:val="61"/>
    <w:qFormat/>
    <w:uiPriority w:val="0"/>
  </w:style>
  <w:style w:type="paragraph" w:customStyle="1" w:styleId="23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4">
    <w:name w:val="发布"/>
    <w:basedOn w:val="31"/>
    <w:qFormat/>
    <w:uiPriority w:val="0"/>
    <w:rPr>
      <w:rFonts w:ascii="黑体" w:eastAsia="黑体"/>
      <w:spacing w:val="85"/>
      <w:w w:val="100"/>
      <w:position w:val="3"/>
      <w:sz w:val="28"/>
      <w:szCs w:val="28"/>
    </w:rPr>
  </w:style>
  <w:style w:type="character" w:customStyle="1" w:styleId="235">
    <w:name w:val="文档结构图 Char"/>
    <w:basedOn w:val="31"/>
    <w:link w:val="13"/>
    <w:semiHidden/>
    <w:qFormat/>
    <w:uiPriority w:val="99"/>
    <w:rPr>
      <w:rFonts w:ascii="宋体"/>
      <w:kern w:val="2"/>
      <w:sz w:val="18"/>
      <w:szCs w:val="18"/>
    </w:rPr>
  </w:style>
  <w:style w:type="paragraph" w:customStyle="1" w:styleId="236">
    <w:name w:val="附录数字编号列项（二级）"/>
    <w:qFormat/>
    <w:uiPriority w:val="0"/>
    <w:pPr>
      <w:numPr>
        <w:ilvl w:val="1"/>
        <w:numId w:val="30"/>
      </w:numPr>
    </w:pPr>
    <w:rPr>
      <w:rFonts w:ascii="宋体" w:hAnsi="Times New Roman" w:eastAsia="宋体" w:cs="Times New Roman"/>
      <w:sz w:val="21"/>
      <w:lang w:val="en-US" w:eastAsia="zh-CN" w:bidi="ar-SA"/>
    </w:rPr>
  </w:style>
  <w:style w:type="paragraph" w:customStyle="1" w:styleId="237">
    <w:name w:val="附录字母编号列项（一级）"/>
    <w:qFormat/>
    <w:uiPriority w:val="0"/>
    <w:pPr>
      <w:numPr>
        <w:ilvl w:val="0"/>
        <w:numId w:val="30"/>
      </w:numPr>
    </w:pPr>
    <w:rPr>
      <w:rFonts w:ascii="宋体" w:hAnsi="Times New Roman" w:eastAsia="宋体" w:cs="Times New Roman"/>
      <w:sz w:val="21"/>
      <w:lang w:val="en-US" w:eastAsia="zh-CN" w:bidi="ar-SA"/>
    </w:rPr>
  </w:style>
  <w:style w:type="paragraph" w:customStyle="1" w:styleId="238">
    <w:name w:val="段"/>
    <w:link w:val="239"/>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9">
    <w:name w:val="段 Char"/>
    <w:link w:val="238"/>
    <w:qFormat/>
    <w:uiPriority w:val="0"/>
    <w:rPr>
      <w:rFonts w:ascii="宋体" w:hAnsi="Times New Roman"/>
      <w:sz w:val="21"/>
    </w:rPr>
  </w:style>
  <w:style w:type="character" w:customStyle="1" w:styleId="240">
    <w:name w:val="批注文字 Char"/>
    <w:basedOn w:val="31"/>
    <w:link w:val="14"/>
    <w:semiHidden/>
    <w:qFormat/>
    <w:uiPriority w:val="99"/>
    <w:rPr>
      <w:rFonts w:ascii="Times New Roman" w:hAnsi="Times New Roman"/>
      <w:kern w:val="2"/>
      <w:sz w:val="21"/>
      <w:szCs w:val="24"/>
    </w:rPr>
  </w:style>
  <w:style w:type="paragraph" w:styleId="241">
    <w:name w:val="List Paragraph"/>
    <w:basedOn w:val="1"/>
    <w:qFormat/>
    <w:uiPriority w:val="99"/>
    <w:pPr>
      <w:ind w:firstLine="420" w:firstLineChars="200"/>
    </w:pPr>
  </w:style>
  <w:style w:type="character" w:customStyle="1" w:styleId="242">
    <w:name w:val="批注主题 Char"/>
    <w:basedOn w:val="240"/>
    <w:link w:val="28"/>
    <w:semiHidden/>
    <w:qFormat/>
    <w:uiPriority w:val="99"/>
    <w:rPr>
      <w:rFonts w:ascii="Times New Roman" w:hAnsi="Times New Roman"/>
      <w:b/>
      <w:bCs/>
      <w:kern w:val="2"/>
      <w:sz w:val="21"/>
      <w:szCs w:val="21"/>
    </w:rPr>
  </w:style>
  <w:style w:type="paragraph" w:customStyle="1" w:styleId="243">
    <w:name w:val="修订1"/>
    <w:hidden/>
    <w:semiHidden/>
    <w:qFormat/>
    <w:uiPriority w:val="99"/>
    <w:rPr>
      <w:rFonts w:ascii="Calibri" w:hAnsi="Calibri" w:eastAsia="宋体" w:cs="Times New Roman"/>
      <w:kern w:val="2"/>
      <w:sz w:val="21"/>
      <w:szCs w:val="21"/>
      <w:lang w:val="en-US" w:eastAsia="zh-CN" w:bidi="ar-SA"/>
    </w:rPr>
  </w:style>
  <w:style w:type="paragraph" w:customStyle="1" w:styleId="244">
    <w:name w:val="修订2"/>
    <w:hidden/>
    <w:unhideWhenUsed/>
    <w:qFormat/>
    <w:uiPriority w:val="99"/>
    <w:rPr>
      <w:rFonts w:ascii="Calibri" w:hAnsi="Calibri" w:eastAsia="宋体" w:cs="Times New Roman"/>
      <w:kern w:val="2"/>
      <w:sz w:val="21"/>
      <w:szCs w:val="21"/>
      <w:lang w:val="en-US" w:eastAsia="zh-CN" w:bidi="ar-SA"/>
    </w:rPr>
  </w:style>
  <w:style w:type="paragraph" w:customStyle="1" w:styleId="245">
    <w:name w:val="修订3"/>
    <w:hidden/>
    <w:unhideWhenUsed/>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1AEC4D003614D1880029616512875CA"/>
        <w:style w:val=""/>
        <w:category>
          <w:name w:val="常规"/>
          <w:gallery w:val="placeholder"/>
        </w:category>
        <w:types>
          <w:type w:val="bbPlcHdr"/>
        </w:types>
        <w:behaviors>
          <w:behavior w:val="content"/>
        </w:behaviors>
        <w:description w:val=""/>
        <w:guid w:val="{2757EC83-F870-4C58-B651-11FFDB44DFB7}"/>
      </w:docPartPr>
      <w:docPartBody>
        <w:p w14:paraId="2B37D75D">
          <w:pPr>
            <w:pStyle w:val="5"/>
          </w:pPr>
          <w:r>
            <w:rPr>
              <w:rStyle w:val="4"/>
              <w:rFonts w:hint="eastAsia"/>
            </w:rPr>
            <w:t>单击或点击此处输入文字。</w:t>
          </w:r>
        </w:p>
      </w:docPartBody>
    </w:docPart>
    <w:docPart>
      <w:docPartPr>
        <w:name w:val="6CE5BDF886ED443A979C89EDC5EDF5EE"/>
        <w:style w:val=""/>
        <w:category>
          <w:name w:val="常规"/>
          <w:gallery w:val="placeholder"/>
        </w:category>
        <w:types>
          <w:type w:val="bbPlcHdr"/>
        </w:types>
        <w:behaviors>
          <w:behavior w:val="content"/>
        </w:behaviors>
        <w:description w:val=""/>
        <w:guid w:val="{FFF9E395-3E94-4C78-9DA6-2C86D4C69292}"/>
      </w:docPartPr>
      <w:docPartBody>
        <w:p w14:paraId="7D47FB47">
          <w:pPr>
            <w:pStyle w:val="6"/>
          </w:pPr>
          <w:r>
            <w:rPr>
              <w:rStyle w:val="4"/>
              <w:rFonts w:hint="eastAsia"/>
            </w:rPr>
            <w:t>选择一项。</w:t>
          </w:r>
        </w:p>
      </w:docPartBody>
    </w:docPart>
    <w:docPart>
      <w:docPartPr>
        <w:name w:val="D02DD0BA0D4F43A8B537D9C5FA2E5A71"/>
        <w:style w:val=""/>
        <w:category>
          <w:name w:val="常规"/>
          <w:gallery w:val="placeholder"/>
        </w:category>
        <w:types>
          <w:type w:val="bbPlcHdr"/>
        </w:types>
        <w:behaviors>
          <w:behavior w:val="content"/>
        </w:behaviors>
        <w:description w:val=""/>
        <w:guid w:val="{79CC9C84-65AA-4AB8-A422-3B3B14028792}"/>
      </w:docPartPr>
      <w:docPartBody>
        <w:p w14:paraId="4B049B45">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ED5"/>
    <w:rsid w:val="000006FF"/>
    <w:rsid w:val="00015001"/>
    <w:rsid w:val="000C5F1C"/>
    <w:rsid w:val="00140696"/>
    <w:rsid w:val="00140A68"/>
    <w:rsid w:val="001654D2"/>
    <w:rsid w:val="00175193"/>
    <w:rsid w:val="001A02A7"/>
    <w:rsid w:val="00201298"/>
    <w:rsid w:val="00212C8B"/>
    <w:rsid w:val="00323E5F"/>
    <w:rsid w:val="00352CED"/>
    <w:rsid w:val="003A5DA2"/>
    <w:rsid w:val="003B41A7"/>
    <w:rsid w:val="003C7897"/>
    <w:rsid w:val="00435E1C"/>
    <w:rsid w:val="00487FDF"/>
    <w:rsid w:val="004D396A"/>
    <w:rsid w:val="004F1850"/>
    <w:rsid w:val="00500F9D"/>
    <w:rsid w:val="00520610"/>
    <w:rsid w:val="005326C7"/>
    <w:rsid w:val="0054437E"/>
    <w:rsid w:val="0056181B"/>
    <w:rsid w:val="00592921"/>
    <w:rsid w:val="006132F0"/>
    <w:rsid w:val="00644F84"/>
    <w:rsid w:val="00647D85"/>
    <w:rsid w:val="006804BC"/>
    <w:rsid w:val="006A062A"/>
    <w:rsid w:val="007102E3"/>
    <w:rsid w:val="00775091"/>
    <w:rsid w:val="007A2821"/>
    <w:rsid w:val="008134DE"/>
    <w:rsid w:val="00866E94"/>
    <w:rsid w:val="008F003F"/>
    <w:rsid w:val="008F758C"/>
    <w:rsid w:val="00966BF3"/>
    <w:rsid w:val="009F6F8D"/>
    <w:rsid w:val="00AF1146"/>
    <w:rsid w:val="00B323E0"/>
    <w:rsid w:val="00B60725"/>
    <w:rsid w:val="00B66825"/>
    <w:rsid w:val="00BD0422"/>
    <w:rsid w:val="00BF18D4"/>
    <w:rsid w:val="00C51BAF"/>
    <w:rsid w:val="00D77275"/>
    <w:rsid w:val="00E05052"/>
    <w:rsid w:val="00E508C7"/>
    <w:rsid w:val="00E75ED5"/>
    <w:rsid w:val="00F05BB2"/>
    <w:rsid w:val="00F36C77"/>
    <w:rsid w:val="00F468D3"/>
    <w:rsid w:val="00F574CB"/>
    <w:rsid w:val="00F80B9F"/>
    <w:rsid w:val="00FA3D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E1AEC4D003614D1880029616512875C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6CE5BDF886ED443A979C89EDC5EDF5E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D02DD0BA0D4F43A8B537D9C5FA2E5A71"/>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6</Pages>
  <Words>1994</Words>
  <Characters>2834</Characters>
  <Lines>36</Lines>
  <Paragraphs>10</Paragraphs>
  <TotalTime>37</TotalTime>
  <ScaleCrop>false</ScaleCrop>
  <LinksUpToDate>false</LinksUpToDate>
  <CharactersWithSpaces>2929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2025-01-20T11:02:00Z</dcterms:created>
  <dc:creator>LiYan</dc:creator>
  <dc:description>&lt;config cover="true" show_menu="true" version="1.0.0" doctype="SDKXY"&gt;_x000d_
&lt;/config&gt;</dc:description>
  <cp:lastModifiedBy>韩意欣</cp:lastModifiedBy>
  <cp:lastPrinted>2024-11-25T07:10:00Z</cp:lastPrinted>
  <dcterms:modified xsi:type="dcterms:W3CDTF">2025-04-02T09:19:51Z</dcterms:modified>
  <dc:title>地方标准</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2052-12.1.0.19302</vt:lpwstr>
  </property>
  <property fmtid="{D5CDD505-2E9C-101B-9397-08002B2CF9AE}" pid="15" name="ICV">
    <vt:lpwstr>8B0AC1B456924D02AF5D72C7074CF266_13</vt:lpwstr>
  </property>
  <property fmtid="{D5CDD505-2E9C-101B-9397-08002B2CF9AE}" pid="16" name="KSOTemplateDocerSaveRecord">
    <vt:lpwstr>eyJoZGlkIjoiNTUwNDk1MTRlM2RkYTJkNTU2YjU5YTY5OGVmYjI0NWEiLCJ1c2VySWQiOiIzODI5MjAxNTEifQ==</vt:lpwstr>
  </property>
</Properties>
</file>